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4EB19">
      <w:pPr>
        <w:pStyle w:val="31"/>
        <w:widowControl/>
        <w:rPr>
          <w:rFonts w:ascii="Times New Roman" w:hAnsi="Times New Roman" w:eastAsia="黑体" w:cs="Times New Roman"/>
          <w:b w:val="0"/>
          <w:bCs w:val="0"/>
          <w:sz w:val="36"/>
          <w:szCs w:val="24"/>
        </w:rPr>
      </w:pPr>
      <w:r>
        <w:rPr>
          <w:rFonts w:ascii="Times New Roman" w:hAnsi="Times New Roman" w:eastAsia="黑体" w:cs="Times New Roman"/>
          <w:b w:val="0"/>
          <w:bCs w:val="0"/>
          <w:sz w:val="36"/>
          <w:szCs w:val="24"/>
        </w:rPr>
        <w:t>DC40K800300</w:t>
      </w:r>
      <w:r>
        <w:rPr>
          <w:rFonts w:ascii="Times New Roman" w:hAnsi="Times New Roman" w:eastAsia="黑体" w:cs="Times New Roman"/>
          <w:b w:val="0"/>
          <w:bCs w:val="0"/>
          <w:sz w:val="36"/>
          <w:szCs w:val="24"/>
        </w:rPr>
        <w:br w:type="textWrapping"/>
      </w:r>
      <w:r>
        <w:rPr>
          <w:rFonts w:ascii="Times New Roman" w:hAnsi="Times New Roman" w:eastAsia="黑体" w:cs="Times New Roman"/>
          <w:b w:val="0"/>
          <w:bCs w:val="0"/>
          <w:sz w:val="36"/>
          <w:szCs w:val="24"/>
        </w:rPr>
        <w:t>40kW 直流电源模块 详细规格书</w:t>
      </w:r>
    </w:p>
    <w:p w14:paraId="233D9C7B"/>
    <w:p w14:paraId="20E9AD5F">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型号：DC40K800300    额定功率：40kW    输入：500~900Vdc    输出：150~350Vdc</w:t>
      </w:r>
    </w:p>
    <w:p w14:paraId="16F6D5A3">
      <w:pPr>
        <w:jc w:val="center"/>
      </w:pPr>
    </w:p>
    <w:p w14:paraId="7F5E7A02"/>
    <w:p w14:paraId="1AAB8D82">
      <w:r>
        <w:br w:type="page"/>
      </w:r>
    </w:p>
    <w:p w14:paraId="430D0177">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产品概述</w:t>
      </w:r>
    </w:p>
    <w:p w14:paraId="2E30FAD0">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DC40K800300 是一款高功率密度、宽电压范围的直流电源模块，采用高频隔离 DC/DC 变换拓扑，工业直流供电、储能 PCS、测试电源等场景。模块支持 CAN 总线集中监控，可多台并联扩容。</w:t>
      </w:r>
    </w:p>
    <w:p w14:paraId="1BB955A3">
      <w:pPr>
        <w:pStyle w:val="4"/>
        <w:widowControl/>
        <w:rPr>
          <w:rFonts w:ascii="Times New Roman" w:hAnsi="Times New Roman" w:eastAsia="黑体" w:cs="Times New Roman"/>
          <w:b w:val="0"/>
          <w:bCs w:val="0"/>
          <w:sz w:val="30"/>
          <w:szCs w:val="32"/>
        </w:rPr>
      </w:pPr>
      <w:r>
        <w:rPr>
          <w:rFonts w:ascii="Times New Roman" w:hAnsi="Times New Roman" w:eastAsia="黑体" w:cs="Times New Roman"/>
          <w:b w:val="0"/>
          <w:bCs w:val="0"/>
          <w:sz w:val="30"/>
          <w:szCs w:val="32"/>
        </w:rPr>
        <w:t>型号释义：</w:t>
      </w:r>
    </w:p>
    <w:p w14:paraId="515DE2FB">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DC —— 直流（Direct Current）电源模块</w:t>
      </w:r>
    </w:p>
    <w:p w14:paraId="0E95D905">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40K —— 额定输出功率 40kW（40×1000）</w:t>
      </w:r>
    </w:p>
    <w:p w14:paraId="2240B680">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800 —— 额定输入电压 800Vdc</w:t>
      </w:r>
    </w:p>
    <w:p w14:paraId="7DB66B57">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300 —— 额定输出电压 300Vdc</w:t>
      </w:r>
    </w:p>
    <w:p w14:paraId="533732FB">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产品特点</w:t>
      </w:r>
    </w:p>
    <w:p w14:paraId="04200837">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宽输入范围 500~900Vdc，适配光伏、储能、电网等多种直流母线。</w:t>
      </w:r>
    </w:p>
    <w:p w14:paraId="4E5426EA">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宽输出范围 150~350Vdc，恒流/恒压/恒功率自动切换，拐点电压约 300V。</w:t>
      </w:r>
    </w:p>
    <w:p w14:paraId="702B567F">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峰值效率 ≥97%，全负载范围高效率，降低系统损耗与散热成本。</w:t>
      </w:r>
    </w:p>
    <w:p w14:paraId="2272FB73">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高频隔离拓扑，输出电压纹波因数 ≤</w:t>
      </w:r>
      <w:r>
        <w:rPr>
          <w:rFonts w:hint="eastAsia" w:cs="Times New Roman"/>
          <w:b w:val="0"/>
          <w:bCs w:val="0"/>
          <w:sz w:val="24"/>
          <w:szCs w:val="24"/>
          <w:lang w:val="en-US" w:eastAsia="zh-CN"/>
        </w:rPr>
        <w:t>1</w:t>
      </w:r>
      <w:r>
        <w:rPr>
          <w:rFonts w:ascii="Times New Roman" w:hAnsi="Times New Roman" w:eastAsia="宋体" w:cs="Times New Roman"/>
          <w:b w:val="0"/>
          <w:bCs w:val="0"/>
          <w:sz w:val="24"/>
          <w:szCs w:val="24"/>
        </w:rPr>
        <w:t>%（0~20MHz），动态响应快。</w:t>
      </w:r>
    </w:p>
    <w:p w14:paraId="0CEEAD6C">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完善的过压、过流、过温、短路、输入欠/过压保护，故障自恢复。</w:t>
      </w:r>
    </w:p>
    <w:p w14:paraId="216137F6">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强制风冷 + 温度自适应调速，55℃ 以上自动降额，保障长期可靠运行。</w:t>
      </w:r>
    </w:p>
    <w:p w14:paraId="5E8D4B41">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标准 CAN 2.0B 通讯接口，支持远程启停、调压、限流与状态回读。</w:t>
      </w:r>
    </w:p>
    <w:p w14:paraId="23B80F7C">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模块化设计，支持多台并联扩容与在线维护，符合 ROHS/REACH 环保要求。</w:t>
      </w:r>
    </w:p>
    <w:p w14:paraId="580122D9">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技术指标</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2"/>
        <w:gridCol w:w="2952"/>
        <w:gridCol w:w="2952"/>
      </w:tblGrid>
      <w:tr w14:paraId="097E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92D3E7E">
            <w:pPr>
              <w:spacing w:after="0" w:line="240" w:lineRule="auto"/>
            </w:pPr>
            <w:r>
              <w:rPr>
                <w:rFonts w:ascii="微软雅黑" w:hAnsi="微软雅黑" w:eastAsia="微软雅黑"/>
                <w:b/>
                <w:sz w:val="19"/>
              </w:rPr>
              <w:t>类别</w:t>
            </w:r>
          </w:p>
        </w:tc>
        <w:tc>
          <w:tcPr>
            <w:tcW w:w="1666" w:type="pct"/>
          </w:tcPr>
          <w:p w14:paraId="1FBEA86A">
            <w:pPr>
              <w:spacing w:after="0" w:line="240" w:lineRule="auto"/>
            </w:pPr>
            <w:r>
              <w:rPr>
                <w:rFonts w:ascii="微软雅黑" w:hAnsi="微软雅黑" w:eastAsia="微软雅黑"/>
                <w:b/>
                <w:sz w:val="19"/>
              </w:rPr>
              <w:t>名称</w:t>
            </w:r>
          </w:p>
        </w:tc>
        <w:tc>
          <w:tcPr>
            <w:tcW w:w="1666" w:type="pct"/>
          </w:tcPr>
          <w:p w14:paraId="70EF97A1">
            <w:pPr>
              <w:spacing w:after="0" w:line="240" w:lineRule="auto"/>
            </w:pPr>
            <w:r>
              <w:rPr>
                <w:rFonts w:ascii="微软雅黑" w:hAnsi="微软雅黑" w:eastAsia="微软雅黑"/>
                <w:b/>
                <w:sz w:val="19"/>
              </w:rPr>
              <w:t>参数</w:t>
            </w:r>
          </w:p>
        </w:tc>
      </w:tr>
      <w:tr w14:paraId="48C1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D21A553">
            <w:pPr>
              <w:spacing w:after="0" w:line="240" w:lineRule="auto"/>
            </w:pPr>
            <w:r>
              <w:rPr>
                <w:rFonts w:ascii="微软雅黑" w:hAnsi="微软雅黑" w:eastAsia="微软雅黑"/>
                <w:sz w:val="19"/>
              </w:rPr>
              <w:t>环境条件</w:t>
            </w:r>
          </w:p>
        </w:tc>
        <w:tc>
          <w:tcPr>
            <w:tcW w:w="1666" w:type="pct"/>
          </w:tcPr>
          <w:p w14:paraId="7AD2448B">
            <w:pPr>
              <w:spacing w:after="0" w:line="240" w:lineRule="auto"/>
            </w:pPr>
            <w:r>
              <w:rPr>
                <w:rFonts w:ascii="微软雅黑" w:hAnsi="微软雅黑" w:eastAsia="微软雅黑"/>
                <w:sz w:val="19"/>
              </w:rPr>
              <w:t>工作温度</w:t>
            </w:r>
          </w:p>
        </w:tc>
        <w:tc>
          <w:tcPr>
            <w:tcW w:w="1666" w:type="pct"/>
          </w:tcPr>
          <w:p w14:paraId="673A2E72">
            <w:pPr>
              <w:spacing w:after="0" w:line="240" w:lineRule="auto"/>
            </w:pPr>
            <w:r>
              <w:rPr>
                <w:rFonts w:ascii="微软雅黑" w:hAnsi="微软雅黑" w:eastAsia="微软雅黑"/>
                <w:sz w:val="19"/>
              </w:rPr>
              <w:t>－40℃～＋75℃，55℃以上需降额使用</w:t>
            </w:r>
          </w:p>
        </w:tc>
      </w:tr>
      <w:tr w14:paraId="69CF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410F1E1">
            <w:pPr>
              <w:spacing w:after="0" w:line="240" w:lineRule="auto"/>
            </w:pPr>
            <w:r>
              <w:rPr>
                <w:rFonts w:ascii="微软雅黑" w:hAnsi="微软雅黑" w:eastAsia="微软雅黑"/>
                <w:sz w:val="19"/>
              </w:rPr>
              <w:t>环境条件</w:t>
            </w:r>
          </w:p>
        </w:tc>
        <w:tc>
          <w:tcPr>
            <w:tcW w:w="1666" w:type="pct"/>
          </w:tcPr>
          <w:p w14:paraId="51F15799">
            <w:pPr>
              <w:spacing w:after="0" w:line="240" w:lineRule="auto"/>
            </w:pPr>
            <w:r>
              <w:rPr>
                <w:rFonts w:ascii="微软雅黑" w:hAnsi="微软雅黑" w:eastAsia="微软雅黑"/>
                <w:sz w:val="19"/>
              </w:rPr>
              <w:t>储存温度</w:t>
            </w:r>
          </w:p>
        </w:tc>
        <w:tc>
          <w:tcPr>
            <w:tcW w:w="1666" w:type="pct"/>
          </w:tcPr>
          <w:p w14:paraId="007951BF">
            <w:pPr>
              <w:spacing w:after="0" w:line="240" w:lineRule="auto"/>
            </w:pPr>
            <w:r>
              <w:rPr>
                <w:rFonts w:ascii="微软雅黑" w:hAnsi="微软雅黑" w:eastAsia="微软雅黑"/>
                <w:sz w:val="19"/>
              </w:rPr>
              <w:t>－40℃～＋70℃</w:t>
            </w:r>
          </w:p>
        </w:tc>
      </w:tr>
      <w:tr w14:paraId="0E77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89FB337">
            <w:pPr>
              <w:spacing w:after="0" w:line="240" w:lineRule="auto"/>
            </w:pPr>
            <w:r>
              <w:rPr>
                <w:rFonts w:ascii="微软雅黑" w:hAnsi="微软雅黑" w:eastAsia="微软雅黑"/>
                <w:sz w:val="19"/>
              </w:rPr>
              <w:t>环境条件</w:t>
            </w:r>
          </w:p>
        </w:tc>
        <w:tc>
          <w:tcPr>
            <w:tcW w:w="1666" w:type="pct"/>
          </w:tcPr>
          <w:p w14:paraId="4C96F5B9">
            <w:pPr>
              <w:spacing w:after="0" w:line="240" w:lineRule="auto"/>
            </w:pPr>
            <w:r>
              <w:rPr>
                <w:rFonts w:ascii="微软雅黑" w:hAnsi="微软雅黑" w:eastAsia="微软雅黑"/>
                <w:sz w:val="19"/>
              </w:rPr>
              <w:t>相对湿度</w:t>
            </w:r>
          </w:p>
        </w:tc>
        <w:tc>
          <w:tcPr>
            <w:tcW w:w="1666" w:type="pct"/>
          </w:tcPr>
          <w:p w14:paraId="08966E1A">
            <w:pPr>
              <w:spacing w:after="0" w:line="240" w:lineRule="auto"/>
            </w:pPr>
            <w:r>
              <w:rPr>
                <w:rFonts w:ascii="微软雅黑" w:hAnsi="微软雅黑" w:eastAsia="微软雅黑"/>
                <w:sz w:val="19"/>
              </w:rPr>
              <w:t>≤95％RH，无冷凝</w:t>
            </w:r>
          </w:p>
        </w:tc>
      </w:tr>
      <w:tr w14:paraId="323B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B929F8C">
            <w:pPr>
              <w:spacing w:after="0" w:line="240" w:lineRule="auto"/>
            </w:pPr>
            <w:r>
              <w:rPr>
                <w:rFonts w:ascii="微软雅黑" w:hAnsi="微软雅黑" w:eastAsia="微软雅黑"/>
                <w:sz w:val="19"/>
              </w:rPr>
              <w:t>环境条件</w:t>
            </w:r>
          </w:p>
        </w:tc>
        <w:tc>
          <w:tcPr>
            <w:tcW w:w="1666" w:type="pct"/>
          </w:tcPr>
          <w:p w14:paraId="193DE135">
            <w:pPr>
              <w:spacing w:after="0" w:line="240" w:lineRule="auto"/>
            </w:pPr>
            <w:r>
              <w:rPr>
                <w:rFonts w:ascii="微软雅黑" w:hAnsi="微软雅黑" w:eastAsia="微软雅黑"/>
                <w:sz w:val="19"/>
              </w:rPr>
              <w:t>冷却方式</w:t>
            </w:r>
          </w:p>
        </w:tc>
        <w:tc>
          <w:tcPr>
            <w:tcW w:w="1666" w:type="pct"/>
          </w:tcPr>
          <w:p w14:paraId="7E9A37FF">
            <w:pPr>
              <w:spacing w:after="0" w:line="240" w:lineRule="auto"/>
            </w:pPr>
            <w:r>
              <w:rPr>
                <w:rFonts w:ascii="微软雅黑" w:hAnsi="微软雅黑" w:eastAsia="微软雅黑"/>
                <w:sz w:val="19"/>
              </w:rPr>
              <w:t>风冷（前进风 / 后出风）</w:t>
            </w:r>
          </w:p>
        </w:tc>
      </w:tr>
      <w:tr w14:paraId="6319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09C2A6F">
            <w:pPr>
              <w:spacing w:after="0" w:line="240" w:lineRule="auto"/>
            </w:pPr>
            <w:r>
              <w:rPr>
                <w:rFonts w:ascii="微软雅黑" w:hAnsi="微软雅黑" w:eastAsia="微软雅黑"/>
                <w:sz w:val="19"/>
              </w:rPr>
              <w:t>环境条件</w:t>
            </w:r>
          </w:p>
        </w:tc>
        <w:tc>
          <w:tcPr>
            <w:tcW w:w="1666" w:type="pct"/>
          </w:tcPr>
          <w:p w14:paraId="5759041B">
            <w:pPr>
              <w:spacing w:after="0" w:line="240" w:lineRule="auto"/>
            </w:pPr>
            <w:r>
              <w:rPr>
                <w:rFonts w:ascii="微软雅黑" w:hAnsi="微软雅黑" w:eastAsia="微软雅黑"/>
                <w:sz w:val="19"/>
              </w:rPr>
              <w:t>海拔高度</w:t>
            </w:r>
          </w:p>
        </w:tc>
        <w:tc>
          <w:tcPr>
            <w:tcW w:w="1666" w:type="pct"/>
          </w:tcPr>
          <w:p w14:paraId="04147AED">
            <w:pPr>
              <w:spacing w:after="0" w:line="240" w:lineRule="auto"/>
            </w:pPr>
            <w:r>
              <w:rPr>
                <w:rFonts w:ascii="微软雅黑" w:hAnsi="微软雅黑" w:eastAsia="微软雅黑"/>
                <w:sz w:val="19"/>
              </w:rPr>
              <w:t>低于 2000m；2000m 以上建议每升高 1km 降额 10~15%</w:t>
            </w:r>
          </w:p>
        </w:tc>
      </w:tr>
      <w:tr w14:paraId="093D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8DBC606">
            <w:pPr>
              <w:spacing w:after="0" w:line="240" w:lineRule="auto"/>
            </w:pPr>
            <w:r>
              <w:rPr>
                <w:rFonts w:ascii="微软雅黑" w:hAnsi="微软雅黑" w:eastAsia="微软雅黑"/>
                <w:sz w:val="19"/>
              </w:rPr>
              <w:t>环境条件</w:t>
            </w:r>
          </w:p>
        </w:tc>
        <w:tc>
          <w:tcPr>
            <w:tcW w:w="1666" w:type="pct"/>
          </w:tcPr>
          <w:p w14:paraId="1B157CC0">
            <w:pPr>
              <w:spacing w:after="0" w:line="240" w:lineRule="auto"/>
            </w:pPr>
            <w:r>
              <w:rPr>
                <w:rFonts w:ascii="微软雅黑" w:hAnsi="微软雅黑" w:eastAsia="微软雅黑"/>
                <w:sz w:val="19"/>
              </w:rPr>
              <w:t>大气压力</w:t>
            </w:r>
          </w:p>
        </w:tc>
        <w:tc>
          <w:tcPr>
            <w:tcW w:w="1666" w:type="pct"/>
          </w:tcPr>
          <w:p w14:paraId="4AF3F4CB">
            <w:pPr>
              <w:spacing w:after="0" w:line="240" w:lineRule="auto"/>
            </w:pPr>
            <w:r>
              <w:rPr>
                <w:rFonts w:ascii="微软雅黑" w:hAnsi="微软雅黑" w:eastAsia="微软雅黑"/>
                <w:sz w:val="19"/>
              </w:rPr>
              <w:t>79kPa～106kPa</w:t>
            </w:r>
          </w:p>
        </w:tc>
      </w:tr>
      <w:tr w14:paraId="4F63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E0ABAE3">
            <w:pPr>
              <w:spacing w:after="0" w:line="240" w:lineRule="auto"/>
            </w:pPr>
            <w:r>
              <w:rPr>
                <w:rFonts w:ascii="微软雅黑" w:hAnsi="微软雅黑" w:eastAsia="微软雅黑"/>
                <w:sz w:val="19"/>
              </w:rPr>
              <w:t>环境条件</w:t>
            </w:r>
          </w:p>
        </w:tc>
        <w:tc>
          <w:tcPr>
            <w:tcW w:w="1666" w:type="pct"/>
          </w:tcPr>
          <w:p w14:paraId="439F48A8">
            <w:pPr>
              <w:spacing w:after="0" w:line="240" w:lineRule="auto"/>
            </w:pPr>
            <w:r>
              <w:rPr>
                <w:rFonts w:ascii="微软雅黑" w:hAnsi="微软雅黑" w:eastAsia="微软雅黑"/>
                <w:sz w:val="19"/>
              </w:rPr>
              <w:t>防护等级</w:t>
            </w:r>
          </w:p>
        </w:tc>
        <w:tc>
          <w:tcPr>
            <w:tcW w:w="1666" w:type="pct"/>
          </w:tcPr>
          <w:p w14:paraId="5B24E324">
            <w:pPr>
              <w:spacing w:after="0" w:line="240" w:lineRule="auto"/>
            </w:pPr>
            <w:r>
              <w:rPr>
                <w:rFonts w:ascii="微软雅黑" w:hAnsi="微软雅黑" w:eastAsia="微软雅黑"/>
                <w:sz w:val="19"/>
              </w:rPr>
              <w:t>IP20</w:t>
            </w:r>
          </w:p>
        </w:tc>
      </w:tr>
      <w:tr w14:paraId="122A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9996A16">
            <w:pPr>
              <w:spacing w:after="0" w:line="240" w:lineRule="auto"/>
            </w:pPr>
            <w:r>
              <w:rPr>
                <w:rFonts w:ascii="微软雅黑" w:hAnsi="微软雅黑" w:eastAsia="微软雅黑"/>
                <w:sz w:val="19"/>
              </w:rPr>
              <w:t>直流输入</w:t>
            </w:r>
          </w:p>
        </w:tc>
        <w:tc>
          <w:tcPr>
            <w:tcW w:w="1666" w:type="pct"/>
          </w:tcPr>
          <w:p w14:paraId="6EFEAD9E">
            <w:pPr>
              <w:spacing w:after="0" w:line="240" w:lineRule="auto"/>
            </w:pPr>
            <w:r>
              <w:rPr>
                <w:rFonts w:ascii="微软雅黑" w:hAnsi="微软雅黑" w:eastAsia="微软雅黑"/>
                <w:sz w:val="19"/>
              </w:rPr>
              <w:t>输入制式</w:t>
            </w:r>
          </w:p>
        </w:tc>
        <w:tc>
          <w:tcPr>
            <w:tcW w:w="1666" w:type="pct"/>
          </w:tcPr>
          <w:p w14:paraId="065FB94F">
            <w:pPr>
              <w:spacing w:after="0" w:line="240" w:lineRule="auto"/>
            </w:pPr>
            <w:r>
              <w:rPr>
                <w:rFonts w:ascii="微软雅黑" w:hAnsi="微软雅黑" w:eastAsia="微软雅黑"/>
                <w:sz w:val="19"/>
              </w:rPr>
              <w:t>DC+ / DC− 和 PE</w:t>
            </w:r>
          </w:p>
        </w:tc>
      </w:tr>
      <w:tr w14:paraId="1968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EF37ECA">
            <w:pPr>
              <w:spacing w:after="0" w:line="240" w:lineRule="auto"/>
            </w:pPr>
            <w:r>
              <w:rPr>
                <w:rFonts w:ascii="微软雅黑" w:hAnsi="微软雅黑" w:eastAsia="微软雅黑"/>
                <w:sz w:val="19"/>
              </w:rPr>
              <w:t>直流输入</w:t>
            </w:r>
          </w:p>
        </w:tc>
        <w:tc>
          <w:tcPr>
            <w:tcW w:w="1666" w:type="pct"/>
          </w:tcPr>
          <w:p w14:paraId="3C3262F1">
            <w:pPr>
              <w:spacing w:after="0" w:line="240" w:lineRule="auto"/>
            </w:pPr>
            <w:r>
              <w:rPr>
                <w:rFonts w:ascii="微软雅黑" w:hAnsi="微软雅黑" w:eastAsia="微软雅黑"/>
                <w:sz w:val="19"/>
              </w:rPr>
              <w:t>电压范围</w:t>
            </w:r>
          </w:p>
        </w:tc>
        <w:tc>
          <w:tcPr>
            <w:tcW w:w="1666" w:type="pct"/>
          </w:tcPr>
          <w:p w14:paraId="02222F2E">
            <w:pPr>
              <w:spacing w:after="0" w:line="240" w:lineRule="auto"/>
            </w:pPr>
            <w:r>
              <w:rPr>
                <w:rFonts w:ascii="微软雅黑" w:hAnsi="微软雅黑" w:eastAsia="微软雅黑"/>
                <w:sz w:val="19"/>
              </w:rPr>
              <w:t>500Vdc～900Vdc</w:t>
            </w:r>
          </w:p>
        </w:tc>
      </w:tr>
      <w:tr w14:paraId="07D9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8F26EA6">
            <w:pPr>
              <w:spacing w:after="0" w:line="240" w:lineRule="auto"/>
            </w:pPr>
            <w:r>
              <w:rPr>
                <w:rFonts w:ascii="微软雅黑" w:hAnsi="微软雅黑" w:eastAsia="微软雅黑"/>
                <w:sz w:val="19"/>
              </w:rPr>
              <w:t>直流输入</w:t>
            </w:r>
          </w:p>
        </w:tc>
        <w:tc>
          <w:tcPr>
            <w:tcW w:w="1666" w:type="pct"/>
          </w:tcPr>
          <w:p w14:paraId="6CEEE3A5">
            <w:pPr>
              <w:spacing w:after="0" w:line="240" w:lineRule="auto"/>
            </w:pPr>
            <w:r>
              <w:rPr>
                <w:rFonts w:ascii="微软雅黑" w:hAnsi="微软雅黑" w:eastAsia="微软雅黑"/>
                <w:sz w:val="19"/>
              </w:rPr>
              <w:t>额定电压</w:t>
            </w:r>
          </w:p>
        </w:tc>
        <w:tc>
          <w:tcPr>
            <w:tcW w:w="1666" w:type="pct"/>
          </w:tcPr>
          <w:p w14:paraId="6EAF1372">
            <w:pPr>
              <w:spacing w:after="0" w:line="240" w:lineRule="auto"/>
            </w:pPr>
            <w:r>
              <w:rPr>
                <w:rFonts w:ascii="微软雅黑" w:hAnsi="微软雅黑" w:eastAsia="微软雅黑"/>
                <w:sz w:val="19"/>
              </w:rPr>
              <w:t>800Vdc</w:t>
            </w:r>
          </w:p>
        </w:tc>
      </w:tr>
      <w:tr w14:paraId="12D1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C930497">
            <w:pPr>
              <w:spacing w:after="0" w:line="240" w:lineRule="auto"/>
            </w:pPr>
            <w:r>
              <w:rPr>
                <w:rFonts w:ascii="微软雅黑" w:hAnsi="微软雅黑" w:eastAsia="微软雅黑"/>
                <w:sz w:val="19"/>
              </w:rPr>
              <w:t>直流输入</w:t>
            </w:r>
          </w:p>
        </w:tc>
        <w:tc>
          <w:tcPr>
            <w:tcW w:w="1666" w:type="pct"/>
          </w:tcPr>
          <w:p w14:paraId="5560C3AC">
            <w:pPr>
              <w:spacing w:after="0" w:line="240" w:lineRule="auto"/>
            </w:pPr>
            <w:r>
              <w:rPr>
                <w:rFonts w:ascii="微软雅黑" w:hAnsi="微软雅黑" w:eastAsia="微软雅黑"/>
                <w:sz w:val="19"/>
              </w:rPr>
              <w:t>最大电流</w:t>
            </w:r>
          </w:p>
        </w:tc>
        <w:tc>
          <w:tcPr>
            <w:tcW w:w="1666" w:type="pct"/>
          </w:tcPr>
          <w:p w14:paraId="3C983990">
            <w:pPr>
              <w:spacing w:after="0" w:line="240" w:lineRule="auto"/>
            </w:pPr>
            <w:r>
              <w:rPr>
                <w:rFonts w:ascii="微软雅黑" w:hAnsi="微软雅黑" w:eastAsia="微软雅黑"/>
                <w:sz w:val="19"/>
              </w:rPr>
              <w:t>≤85A（@500Vdc 输入，额定 40kW）</w:t>
            </w:r>
          </w:p>
        </w:tc>
      </w:tr>
      <w:tr w14:paraId="6719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A6B17CB">
            <w:pPr>
              <w:spacing w:after="0" w:line="240" w:lineRule="auto"/>
            </w:pPr>
            <w:r>
              <w:rPr>
                <w:rFonts w:ascii="微软雅黑" w:hAnsi="微软雅黑" w:eastAsia="微软雅黑"/>
                <w:sz w:val="19"/>
              </w:rPr>
              <w:t>直流输入</w:t>
            </w:r>
          </w:p>
        </w:tc>
        <w:tc>
          <w:tcPr>
            <w:tcW w:w="1666" w:type="pct"/>
          </w:tcPr>
          <w:p w14:paraId="5AA5667C">
            <w:pPr>
              <w:spacing w:after="0" w:line="240" w:lineRule="auto"/>
            </w:pPr>
            <w:r>
              <w:rPr>
                <w:rFonts w:ascii="微软雅黑" w:hAnsi="微软雅黑" w:eastAsia="微软雅黑"/>
                <w:sz w:val="19"/>
              </w:rPr>
              <w:t>待机功耗</w:t>
            </w:r>
          </w:p>
        </w:tc>
        <w:tc>
          <w:tcPr>
            <w:tcW w:w="1666" w:type="pct"/>
          </w:tcPr>
          <w:p w14:paraId="6846D3D6">
            <w:pPr>
              <w:spacing w:after="0" w:line="240" w:lineRule="auto"/>
            </w:pPr>
            <w:r>
              <w:rPr>
                <w:rFonts w:ascii="微软雅黑" w:hAnsi="微软雅黑" w:eastAsia="微软雅黑"/>
                <w:sz w:val="19"/>
              </w:rPr>
              <w:t>&lt;20W @ 额定 800Vdc 输入</w:t>
            </w:r>
          </w:p>
        </w:tc>
      </w:tr>
      <w:tr w14:paraId="54FD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04125D4">
            <w:pPr>
              <w:spacing w:after="0" w:line="240" w:lineRule="auto"/>
            </w:pPr>
            <w:r>
              <w:rPr>
                <w:rFonts w:ascii="微软雅黑" w:hAnsi="微软雅黑" w:eastAsia="微软雅黑"/>
                <w:sz w:val="19"/>
              </w:rPr>
              <w:t>直流输出</w:t>
            </w:r>
          </w:p>
        </w:tc>
        <w:tc>
          <w:tcPr>
            <w:tcW w:w="1666" w:type="pct"/>
          </w:tcPr>
          <w:p w14:paraId="39676C79">
            <w:pPr>
              <w:spacing w:after="0" w:line="240" w:lineRule="auto"/>
            </w:pPr>
            <w:r>
              <w:rPr>
                <w:rFonts w:ascii="微软雅黑" w:hAnsi="微软雅黑" w:eastAsia="微软雅黑"/>
                <w:sz w:val="19"/>
              </w:rPr>
              <w:t>电压范围</w:t>
            </w:r>
          </w:p>
        </w:tc>
        <w:tc>
          <w:tcPr>
            <w:tcW w:w="1666" w:type="pct"/>
          </w:tcPr>
          <w:p w14:paraId="49C84BAE">
            <w:pPr>
              <w:spacing w:after="0" w:line="240" w:lineRule="auto"/>
            </w:pPr>
            <w:r>
              <w:rPr>
                <w:rFonts w:ascii="微软雅黑" w:hAnsi="微软雅黑" w:eastAsia="微软雅黑"/>
                <w:sz w:val="19"/>
              </w:rPr>
              <w:t>150Vdc～350Vdc</w:t>
            </w:r>
          </w:p>
        </w:tc>
      </w:tr>
      <w:tr w14:paraId="65E4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6C01643">
            <w:pPr>
              <w:spacing w:after="0" w:line="240" w:lineRule="auto"/>
            </w:pPr>
            <w:r>
              <w:rPr>
                <w:rFonts w:ascii="微软雅黑" w:hAnsi="微软雅黑" w:eastAsia="微软雅黑"/>
                <w:sz w:val="19"/>
              </w:rPr>
              <w:t>直流输出</w:t>
            </w:r>
          </w:p>
        </w:tc>
        <w:tc>
          <w:tcPr>
            <w:tcW w:w="1666" w:type="pct"/>
          </w:tcPr>
          <w:p w14:paraId="629D3968">
            <w:pPr>
              <w:spacing w:after="0" w:line="240" w:lineRule="auto"/>
            </w:pPr>
            <w:r>
              <w:rPr>
                <w:rFonts w:ascii="微软雅黑" w:hAnsi="微软雅黑" w:eastAsia="微软雅黑"/>
                <w:sz w:val="19"/>
              </w:rPr>
              <w:t>电流范围</w:t>
            </w:r>
          </w:p>
        </w:tc>
        <w:tc>
          <w:tcPr>
            <w:tcW w:w="1666" w:type="pct"/>
          </w:tcPr>
          <w:p w14:paraId="1BF8F8D1">
            <w:pPr>
              <w:spacing w:after="0" w:line="240" w:lineRule="auto"/>
            </w:pPr>
            <w:r>
              <w:rPr>
                <w:rFonts w:ascii="微软雅黑" w:hAnsi="微软雅黑" w:eastAsia="微软雅黑"/>
                <w:sz w:val="19"/>
              </w:rPr>
              <w:t>0～13</w:t>
            </w:r>
            <w:r>
              <w:rPr>
                <w:rFonts w:hint="eastAsia"/>
                <w:sz w:val="19"/>
                <w:lang w:val="en-US" w:eastAsia="zh-CN"/>
              </w:rPr>
              <w:t>0</w:t>
            </w:r>
            <w:r>
              <w:rPr>
                <w:rFonts w:ascii="微软雅黑" w:hAnsi="微软雅黑" w:eastAsia="微软雅黑"/>
                <w:sz w:val="19"/>
              </w:rPr>
              <w:t>A（限流点可设）</w:t>
            </w:r>
          </w:p>
        </w:tc>
      </w:tr>
      <w:tr w14:paraId="78E4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49136BB">
            <w:pPr>
              <w:spacing w:after="0" w:line="240" w:lineRule="auto"/>
            </w:pPr>
            <w:r>
              <w:rPr>
                <w:rFonts w:ascii="微软雅黑" w:hAnsi="微软雅黑" w:eastAsia="微软雅黑"/>
                <w:sz w:val="19"/>
              </w:rPr>
              <w:t>直流输出</w:t>
            </w:r>
          </w:p>
        </w:tc>
        <w:tc>
          <w:tcPr>
            <w:tcW w:w="1666" w:type="pct"/>
          </w:tcPr>
          <w:p w14:paraId="36EA308D">
            <w:pPr>
              <w:spacing w:after="0" w:line="240" w:lineRule="auto"/>
            </w:pPr>
            <w:r>
              <w:rPr>
                <w:rFonts w:ascii="微软雅黑" w:hAnsi="微软雅黑" w:eastAsia="微软雅黑"/>
                <w:sz w:val="19"/>
              </w:rPr>
              <w:t>额定功率</w:t>
            </w:r>
          </w:p>
        </w:tc>
        <w:tc>
          <w:tcPr>
            <w:tcW w:w="1666" w:type="pct"/>
          </w:tcPr>
          <w:p w14:paraId="527C06A0">
            <w:pPr>
              <w:spacing w:after="0" w:line="240" w:lineRule="auto"/>
            </w:pPr>
            <w:r>
              <w:rPr>
                <w:rFonts w:ascii="微软雅黑" w:hAnsi="微软雅黑" w:eastAsia="微软雅黑"/>
                <w:sz w:val="19"/>
              </w:rPr>
              <w:t>40kW（拐点 300V 以上为恒功率区）</w:t>
            </w:r>
          </w:p>
        </w:tc>
      </w:tr>
      <w:tr w14:paraId="094F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C22573D">
            <w:pPr>
              <w:spacing w:after="0" w:line="240" w:lineRule="auto"/>
            </w:pPr>
            <w:r>
              <w:rPr>
                <w:rFonts w:ascii="微软雅黑" w:hAnsi="微软雅黑" w:eastAsia="微软雅黑"/>
                <w:sz w:val="19"/>
              </w:rPr>
              <w:t>直流输出</w:t>
            </w:r>
          </w:p>
        </w:tc>
        <w:tc>
          <w:tcPr>
            <w:tcW w:w="1666" w:type="pct"/>
          </w:tcPr>
          <w:p w14:paraId="598D6055">
            <w:pPr>
              <w:spacing w:after="0" w:line="240" w:lineRule="auto"/>
            </w:pPr>
            <w:r>
              <w:rPr>
                <w:rFonts w:ascii="微软雅黑" w:hAnsi="微软雅黑" w:eastAsia="微软雅黑"/>
                <w:sz w:val="19"/>
              </w:rPr>
              <w:t>稳压精度</w:t>
            </w:r>
          </w:p>
        </w:tc>
        <w:tc>
          <w:tcPr>
            <w:tcW w:w="1666" w:type="pct"/>
          </w:tcPr>
          <w:p w14:paraId="30185485">
            <w:pPr>
              <w:spacing w:after="0" w:line="240" w:lineRule="auto"/>
            </w:pPr>
            <w:r>
              <w:rPr>
                <w:rFonts w:ascii="微软雅黑" w:hAnsi="微软雅黑" w:eastAsia="微软雅黑"/>
                <w:sz w:val="19"/>
              </w:rPr>
              <w:t>＜±0.5％（150~350V，0～20MHz）</w:t>
            </w:r>
          </w:p>
        </w:tc>
      </w:tr>
      <w:tr w14:paraId="3EF6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02A5EE7">
            <w:pPr>
              <w:spacing w:after="0" w:line="240" w:lineRule="auto"/>
            </w:pPr>
            <w:r>
              <w:rPr>
                <w:rFonts w:ascii="微软雅黑" w:hAnsi="微软雅黑" w:eastAsia="微软雅黑"/>
                <w:sz w:val="19"/>
              </w:rPr>
              <w:t>直流输出</w:t>
            </w:r>
          </w:p>
        </w:tc>
        <w:tc>
          <w:tcPr>
            <w:tcW w:w="1666" w:type="pct"/>
          </w:tcPr>
          <w:p w14:paraId="0224F7E5">
            <w:pPr>
              <w:spacing w:after="0" w:line="240" w:lineRule="auto"/>
            </w:pPr>
            <w:r>
              <w:rPr>
                <w:rFonts w:ascii="微软雅黑" w:hAnsi="微软雅黑" w:eastAsia="微软雅黑"/>
                <w:sz w:val="19"/>
              </w:rPr>
              <w:t>稳流精度</w:t>
            </w:r>
          </w:p>
        </w:tc>
        <w:tc>
          <w:tcPr>
            <w:tcW w:w="1666" w:type="pct"/>
          </w:tcPr>
          <w:p w14:paraId="5DDF971B">
            <w:pPr>
              <w:spacing w:after="0" w:line="240" w:lineRule="auto"/>
            </w:pPr>
            <w:r>
              <w:rPr>
                <w:rFonts w:ascii="微软雅黑" w:hAnsi="微软雅黑" w:eastAsia="微软雅黑"/>
                <w:sz w:val="19"/>
              </w:rPr>
              <w:t>≤±1％（输出负载 20％～100％额定电流）</w:t>
            </w:r>
          </w:p>
        </w:tc>
      </w:tr>
      <w:tr w14:paraId="5B19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52D55A34">
            <w:pPr>
              <w:spacing w:after="0" w:line="240" w:lineRule="auto"/>
            </w:pPr>
            <w:r>
              <w:rPr>
                <w:rFonts w:ascii="微软雅黑" w:hAnsi="微软雅黑" w:eastAsia="微软雅黑"/>
                <w:sz w:val="19"/>
              </w:rPr>
              <w:t>直流输出</w:t>
            </w:r>
          </w:p>
        </w:tc>
        <w:tc>
          <w:tcPr>
            <w:tcW w:w="1666" w:type="pct"/>
          </w:tcPr>
          <w:p w14:paraId="68FB25F6">
            <w:pPr>
              <w:spacing w:after="0" w:line="240" w:lineRule="auto"/>
            </w:pPr>
            <w:r>
              <w:rPr>
                <w:rFonts w:ascii="微软雅黑" w:hAnsi="微软雅黑" w:eastAsia="微软雅黑"/>
                <w:sz w:val="19"/>
              </w:rPr>
              <w:t>负载调整率</w:t>
            </w:r>
          </w:p>
        </w:tc>
        <w:tc>
          <w:tcPr>
            <w:tcW w:w="1666" w:type="pct"/>
          </w:tcPr>
          <w:p w14:paraId="50F4B6E5">
            <w:pPr>
              <w:spacing w:after="0" w:line="240" w:lineRule="auto"/>
            </w:pPr>
            <w:r>
              <w:rPr>
                <w:rFonts w:ascii="微软雅黑" w:hAnsi="微软雅黑" w:eastAsia="微软雅黑"/>
                <w:sz w:val="19"/>
              </w:rPr>
              <w:t>≤±0.5％</w:t>
            </w:r>
          </w:p>
        </w:tc>
      </w:tr>
      <w:tr w14:paraId="1D2C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7EDEE9A5">
            <w:pPr>
              <w:spacing w:after="0" w:line="240" w:lineRule="auto"/>
            </w:pPr>
            <w:r>
              <w:rPr>
                <w:rFonts w:ascii="微软雅黑" w:hAnsi="微软雅黑" w:eastAsia="微软雅黑"/>
                <w:sz w:val="19"/>
              </w:rPr>
              <w:t>直流输出</w:t>
            </w:r>
          </w:p>
        </w:tc>
        <w:tc>
          <w:tcPr>
            <w:tcW w:w="1666" w:type="pct"/>
          </w:tcPr>
          <w:p w14:paraId="5DE4D363">
            <w:pPr>
              <w:spacing w:after="0" w:line="240" w:lineRule="auto"/>
            </w:pPr>
            <w:r>
              <w:rPr>
                <w:rFonts w:hint="eastAsia"/>
                <w:sz w:val="19"/>
                <w:lang w:val="en-US" w:eastAsia="zh-CN"/>
              </w:rPr>
              <w:t>负载调整率</w:t>
            </w:r>
          </w:p>
        </w:tc>
        <w:tc>
          <w:tcPr>
            <w:tcW w:w="1666" w:type="pct"/>
          </w:tcPr>
          <w:p w14:paraId="56B180DB">
            <w:pPr>
              <w:spacing w:after="0" w:line="240" w:lineRule="auto"/>
            </w:pPr>
            <w:r>
              <w:rPr>
                <w:rFonts w:ascii="微软雅黑" w:hAnsi="微软雅黑" w:eastAsia="微软雅黑"/>
                <w:sz w:val="19"/>
              </w:rPr>
              <w:t>≤±3％</w:t>
            </w:r>
          </w:p>
        </w:tc>
      </w:tr>
      <w:tr w14:paraId="5467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8850646">
            <w:pPr>
              <w:spacing w:after="0" w:line="240" w:lineRule="auto"/>
            </w:pPr>
            <w:r>
              <w:rPr>
                <w:rFonts w:ascii="微软雅黑" w:hAnsi="微软雅黑" w:eastAsia="微软雅黑"/>
                <w:sz w:val="19"/>
              </w:rPr>
              <w:t>直流输出</w:t>
            </w:r>
          </w:p>
        </w:tc>
        <w:tc>
          <w:tcPr>
            <w:tcW w:w="1666" w:type="pct"/>
          </w:tcPr>
          <w:p w14:paraId="64A49EF3">
            <w:pPr>
              <w:spacing w:after="0" w:line="240" w:lineRule="auto"/>
            </w:pPr>
            <w:r>
              <w:rPr>
                <w:rFonts w:ascii="微软雅黑" w:hAnsi="微软雅黑" w:eastAsia="微软雅黑"/>
                <w:sz w:val="19"/>
              </w:rPr>
              <w:t>纹波系数</w:t>
            </w:r>
          </w:p>
        </w:tc>
        <w:tc>
          <w:tcPr>
            <w:tcW w:w="1666" w:type="pct"/>
          </w:tcPr>
          <w:p w14:paraId="01A4E993">
            <w:pPr>
              <w:spacing w:after="0" w:line="240" w:lineRule="auto"/>
            </w:pPr>
            <w:r>
              <w:rPr>
                <w:rFonts w:ascii="微软雅黑" w:hAnsi="微软雅黑" w:eastAsia="微软雅黑"/>
                <w:sz w:val="19"/>
              </w:rPr>
              <w:t>≤</w:t>
            </w:r>
            <w:r>
              <w:rPr>
                <w:rFonts w:hint="eastAsia"/>
                <w:sz w:val="19"/>
                <w:lang w:val="en-US" w:eastAsia="zh-CN"/>
              </w:rPr>
              <w:t>1</w:t>
            </w:r>
            <w:r>
              <w:rPr>
                <w:rFonts w:ascii="微软雅黑" w:hAnsi="微软雅黑" w:eastAsia="微软雅黑"/>
                <w:sz w:val="19"/>
              </w:rPr>
              <w:t>％（150~350V，0～20MHz）</w:t>
            </w:r>
          </w:p>
        </w:tc>
      </w:tr>
      <w:tr w14:paraId="7673C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8DABEE1">
            <w:pPr>
              <w:spacing w:after="0" w:line="240" w:lineRule="auto"/>
            </w:pPr>
            <w:r>
              <w:rPr>
                <w:rFonts w:ascii="微软雅黑" w:hAnsi="微软雅黑" w:eastAsia="微软雅黑"/>
                <w:sz w:val="19"/>
              </w:rPr>
              <w:t>直流输出</w:t>
            </w:r>
          </w:p>
        </w:tc>
        <w:tc>
          <w:tcPr>
            <w:tcW w:w="1666" w:type="pct"/>
          </w:tcPr>
          <w:p w14:paraId="4B99DF7D">
            <w:pPr>
              <w:spacing w:after="0" w:line="240" w:lineRule="auto"/>
            </w:pPr>
            <w:r>
              <w:rPr>
                <w:rFonts w:ascii="微软雅黑" w:hAnsi="微软雅黑" w:eastAsia="微软雅黑"/>
                <w:sz w:val="19"/>
              </w:rPr>
              <w:t>峰值效率</w:t>
            </w:r>
          </w:p>
        </w:tc>
        <w:tc>
          <w:tcPr>
            <w:tcW w:w="1666" w:type="pct"/>
          </w:tcPr>
          <w:p w14:paraId="05823857">
            <w:pPr>
              <w:spacing w:after="0" w:line="240" w:lineRule="auto"/>
            </w:pPr>
            <w:r>
              <w:rPr>
                <w:rFonts w:ascii="微软雅黑" w:hAnsi="微软雅黑" w:eastAsia="微软雅黑"/>
                <w:sz w:val="19"/>
              </w:rPr>
              <w:t>≥97％ @ 500V≤输入≤900Vdc，50％～100％负载</w:t>
            </w:r>
          </w:p>
        </w:tc>
      </w:tr>
      <w:tr w14:paraId="3A5D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23D2CC6">
            <w:pPr>
              <w:spacing w:after="0" w:line="240" w:lineRule="auto"/>
            </w:pPr>
            <w:r>
              <w:rPr>
                <w:rFonts w:ascii="微软雅黑" w:hAnsi="微软雅黑" w:eastAsia="微软雅黑"/>
                <w:sz w:val="19"/>
              </w:rPr>
              <w:t>安规参数</w:t>
            </w:r>
          </w:p>
        </w:tc>
        <w:tc>
          <w:tcPr>
            <w:tcW w:w="1666" w:type="pct"/>
          </w:tcPr>
          <w:p w14:paraId="503FC539">
            <w:pPr>
              <w:spacing w:after="0" w:line="240" w:lineRule="auto"/>
            </w:pPr>
            <w:r>
              <w:rPr>
                <w:rFonts w:ascii="微软雅黑" w:hAnsi="微软雅黑" w:eastAsia="微软雅黑"/>
                <w:sz w:val="19"/>
              </w:rPr>
              <w:t>接地电阻</w:t>
            </w:r>
          </w:p>
        </w:tc>
        <w:tc>
          <w:tcPr>
            <w:tcW w:w="1666" w:type="pct"/>
          </w:tcPr>
          <w:p w14:paraId="7821C39A">
            <w:pPr>
              <w:spacing w:after="0" w:line="240" w:lineRule="auto"/>
            </w:pPr>
            <w:r>
              <w:rPr>
                <w:rFonts w:ascii="微软雅黑" w:hAnsi="微软雅黑" w:eastAsia="微软雅黑"/>
                <w:sz w:val="19"/>
              </w:rPr>
              <w:t>≤0.1Ω，应能承受电流 ≥80A</w:t>
            </w:r>
          </w:p>
        </w:tc>
      </w:tr>
      <w:tr w14:paraId="3A44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F297777">
            <w:pPr>
              <w:spacing w:after="0" w:line="240" w:lineRule="auto"/>
            </w:pPr>
            <w:r>
              <w:rPr>
                <w:rFonts w:ascii="微软雅黑" w:hAnsi="微软雅黑" w:eastAsia="微软雅黑"/>
                <w:sz w:val="19"/>
              </w:rPr>
              <w:t>安规参数</w:t>
            </w:r>
          </w:p>
        </w:tc>
        <w:tc>
          <w:tcPr>
            <w:tcW w:w="1666" w:type="pct"/>
          </w:tcPr>
          <w:p w14:paraId="4C56978A">
            <w:pPr>
              <w:spacing w:after="0" w:line="240" w:lineRule="auto"/>
            </w:pPr>
            <w:r>
              <w:rPr>
                <w:rFonts w:ascii="微软雅黑" w:hAnsi="微软雅黑" w:eastAsia="微软雅黑"/>
                <w:sz w:val="19"/>
              </w:rPr>
              <w:t>漏电流</w:t>
            </w:r>
          </w:p>
        </w:tc>
        <w:tc>
          <w:tcPr>
            <w:tcW w:w="1666" w:type="pct"/>
          </w:tcPr>
          <w:p w14:paraId="272C98B2">
            <w:pPr>
              <w:spacing w:after="0" w:line="240" w:lineRule="auto"/>
            </w:pPr>
            <w:r>
              <w:rPr>
                <w:rFonts w:ascii="微软雅黑" w:hAnsi="微软雅黑" w:eastAsia="微软雅黑"/>
                <w:sz w:val="19"/>
              </w:rPr>
              <w:t>≤3.5mA</w:t>
            </w:r>
          </w:p>
        </w:tc>
      </w:tr>
      <w:tr w14:paraId="53C6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775FD735">
            <w:pPr>
              <w:spacing w:after="0" w:line="240" w:lineRule="auto"/>
            </w:pPr>
            <w:r>
              <w:rPr>
                <w:rFonts w:ascii="微软雅黑" w:hAnsi="微软雅黑" w:eastAsia="微软雅黑"/>
                <w:sz w:val="19"/>
              </w:rPr>
              <w:t>安规参数</w:t>
            </w:r>
          </w:p>
        </w:tc>
        <w:tc>
          <w:tcPr>
            <w:tcW w:w="1666" w:type="pct"/>
          </w:tcPr>
          <w:p w14:paraId="058D6451">
            <w:pPr>
              <w:spacing w:after="0" w:line="240" w:lineRule="auto"/>
            </w:pPr>
            <w:r>
              <w:rPr>
                <w:rFonts w:ascii="微软雅黑" w:hAnsi="微软雅黑" w:eastAsia="微软雅黑"/>
                <w:sz w:val="19"/>
              </w:rPr>
              <w:t>绝缘电阻</w:t>
            </w:r>
          </w:p>
        </w:tc>
        <w:tc>
          <w:tcPr>
            <w:tcW w:w="1666" w:type="pct"/>
          </w:tcPr>
          <w:p w14:paraId="009AD8D1">
            <w:pPr>
              <w:spacing w:after="0" w:line="240" w:lineRule="auto"/>
            </w:pPr>
            <w:r>
              <w:rPr>
                <w:rFonts w:ascii="微软雅黑" w:hAnsi="微软雅黑" w:eastAsia="微软雅黑"/>
                <w:sz w:val="19"/>
              </w:rPr>
              <w:t>直流部分对外壳之间绝缘电阻 ≥10MΩ</w:t>
            </w:r>
          </w:p>
        </w:tc>
      </w:tr>
      <w:tr w14:paraId="0602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7955328">
            <w:pPr>
              <w:spacing w:after="0" w:line="240" w:lineRule="auto"/>
            </w:pPr>
            <w:r>
              <w:rPr>
                <w:rFonts w:ascii="微软雅黑" w:hAnsi="微软雅黑" w:eastAsia="微软雅黑"/>
                <w:sz w:val="19"/>
              </w:rPr>
              <w:t>机械参数</w:t>
            </w:r>
          </w:p>
        </w:tc>
        <w:tc>
          <w:tcPr>
            <w:tcW w:w="1666" w:type="pct"/>
          </w:tcPr>
          <w:p w14:paraId="4E621197">
            <w:pPr>
              <w:spacing w:after="0" w:line="240" w:lineRule="auto"/>
            </w:pPr>
            <w:r>
              <w:rPr>
                <w:rFonts w:ascii="微软雅黑" w:hAnsi="微软雅黑" w:eastAsia="微软雅黑"/>
                <w:sz w:val="19"/>
              </w:rPr>
              <w:t>尺寸</w:t>
            </w:r>
          </w:p>
        </w:tc>
        <w:tc>
          <w:tcPr>
            <w:tcW w:w="1666" w:type="pct"/>
          </w:tcPr>
          <w:p w14:paraId="375647E4">
            <w:pPr>
              <w:spacing w:after="0" w:line="240" w:lineRule="auto"/>
            </w:pPr>
            <w:r>
              <w:rPr>
                <w:rFonts w:ascii="微软雅黑" w:hAnsi="微软雅黑" w:eastAsia="微软雅黑"/>
                <w:sz w:val="19"/>
              </w:rPr>
              <w:t>84mm（宽）×300mm（深）×395mm（高）</w:t>
            </w:r>
          </w:p>
        </w:tc>
      </w:tr>
      <w:tr w14:paraId="5034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7E78A834">
            <w:pPr>
              <w:spacing w:after="0" w:line="240" w:lineRule="auto"/>
            </w:pPr>
            <w:r>
              <w:rPr>
                <w:rFonts w:ascii="微软雅黑" w:hAnsi="微软雅黑" w:eastAsia="微软雅黑"/>
                <w:sz w:val="19"/>
              </w:rPr>
              <w:t>机械参数</w:t>
            </w:r>
          </w:p>
        </w:tc>
        <w:tc>
          <w:tcPr>
            <w:tcW w:w="1666" w:type="pct"/>
          </w:tcPr>
          <w:p w14:paraId="22357FA5">
            <w:pPr>
              <w:spacing w:after="0" w:line="240" w:lineRule="auto"/>
            </w:pPr>
            <w:r>
              <w:rPr>
                <w:rFonts w:ascii="微软雅黑" w:hAnsi="微软雅黑" w:eastAsia="微软雅黑"/>
                <w:sz w:val="19"/>
              </w:rPr>
              <w:t>重量</w:t>
            </w:r>
          </w:p>
        </w:tc>
        <w:tc>
          <w:tcPr>
            <w:tcW w:w="1666" w:type="pct"/>
          </w:tcPr>
          <w:p w14:paraId="455F8987">
            <w:pPr>
              <w:spacing w:after="0" w:line="240" w:lineRule="auto"/>
            </w:pPr>
            <w:r>
              <w:rPr>
                <w:rFonts w:ascii="微软雅黑" w:hAnsi="微软雅黑" w:eastAsia="微软雅黑"/>
                <w:sz w:val="19"/>
              </w:rPr>
              <w:t>≤15.5kg</w:t>
            </w:r>
          </w:p>
        </w:tc>
      </w:tr>
      <w:tr w14:paraId="4812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756F11C7">
            <w:pPr>
              <w:spacing w:after="0" w:line="240" w:lineRule="auto"/>
            </w:pPr>
            <w:r>
              <w:rPr>
                <w:rFonts w:ascii="微软雅黑" w:hAnsi="微软雅黑" w:eastAsia="微软雅黑"/>
                <w:sz w:val="19"/>
              </w:rPr>
              <w:t>机械参数</w:t>
            </w:r>
          </w:p>
        </w:tc>
        <w:tc>
          <w:tcPr>
            <w:tcW w:w="1666" w:type="pct"/>
          </w:tcPr>
          <w:p w14:paraId="70F1303D">
            <w:pPr>
              <w:spacing w:after="0" w:line="240" w:lineRule="auto"/>
            </w:pPr>
            <w:r>
              <w:rPr>
                <w:rFonts w:ascii="微软雅黑" w:hAnsi="微软雅黑" w:eastAsia="微软雅黑"/>
                <w:sz w:val="19"/>
              </w:rPr>
              <w:t>噪声</w:t>
            </w:r>
          </w:p>
        </w:tc>
        <w:tc>
          <w:tcPr>
            <w:tcW w:w="1666" w:type="pct"/>
          </w:tcPr>
          <w:p w14:paraId="256815A4">
            <w:pPr>
              <w:spacing w:after="0" w:line="240" w:lineRule="auto"/>
            </w:pPr>
            <w:r>
              <w:rPr>
                <w:rFonts w:ascii="微软雅黑" w:hAnsi="微软雅黑" w:eastAsia="微软雅黑"/>
                <w:sz w:val="19"/>
              </w:rPr>
              <w:t>不大于 65dB(A)（离开前面板 1m 处）</w:t>
            </w:r>
          </w:p>
        </w:tc>
      </w:tr>
      <w:tr w14:paraId="0CB2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0385FE70">
            <w:pPr>
              <w:spacing w:after="0" w:line="240" w:lineRule="auto"/>
            </w:pPr>
            <w:r>
              <w:rPr>
                <w:rFonts w:ascii="微软雅黑" w:hAnsi="微软雅黑" w:eastAsia="微软雅黑"/>
                <w:sz w:val="19"/>
              </w:rPr>
              <w:t>通讯接口</w:t>
            </w:r>
          </w:p>
        </w:tc>
        <w:tc>
          <w:tcPr>
            <w:tcW w:w="1666" w:type="pct"/>
          </w:tcPr>
          <w:p w14:paraId="0B337317">
            <w:pPr>
              <w:spacing w:after="0" w:line="240" w:lineRule="auto"/>
            </w:pPr>
            <w:r>
              <w:rPr>
                <w:rFonts w:ascii="微软雅黑" w:hAnsi="微软雅黑" w:eastAsia="微软雅黑"/>
                <w:sz w:val="19"/>
              </w:rPr>
              <w:t>接口类型</w:t>
            </w:r>
          </w:p>
        </w:tc>
        <w:tc>
          <w:tcPr>
            <w:tcW w:w="1666" w:type="pct"/>
          </w:tcPr>
          <w:p w14:paraId="1F78E406">
            <w:pPr>
              <w:spacing w:after="0" w:line="240" w:lineRule="auto"/>
            </w:pPr>
            <w:r>
              <w:rPr>
                <w:rFonts w:ascii="微软雅黑" w:hAnsi="微软雅黑" w:eastAsia="微软雅黑"/>
                <w:sz w:val="19"/>
              </w:rPr>
              <w:t>CAN 2.0B，250kbps</w:t>
            </w:r>
          </w:p>
        </w:tc>
      </w:tr>
    </w:tbl>
    <w:p w14:paraId="35E72858"/>
    <w:p w14:paraId="17DD68C7">
      <w:bookmarkStart w:id="0" w:name="_GoBack"/>
      <w:bookmarkEnd w:id="0"/>
    </w:p>
    <w:p w14:paraId="737BB4CB">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输出特性（V-I / V-P）</w:t>
      </w:r>
    </w:p>
    <w:p w14:paraId="5290ED22">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模块输出特性如图 4-1、图 4-2 所示：在 150~300V 为恒流区（133.3A），300~350V 为恒功率区（40kW），拐点电压约 300V。额定输出电压 300V 时，输出电流 0~133.3A，功率 0~40kW 连续可调。</w:t>
      </w:r>
    </w:p>
    <w:p w14:paraId="04921AFC">
      <w:pPr>
        <w:jc w:val="center"/>
      </w:pPr>
      <w:r>
        <w:drawing>
          <wp:inline distT="0" distB="0" distL="114300" distR="114300">
            <wp:extent cx="5486400" cy="3382010"/>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486400" cy="3382010"/>
                    </a:xfrm>
                    <a:prstGeom prst="rect">
                      <a:avLst/>
                    </a:prstGeom>
                  </pic:spPr>
                </pic:pic>
              </a:graphicData>
            </a:graphic>
          </wp:inline>
        </w:drawing>
      </w:r>
    </w:p>
    <w:p w14:paraId="712557D2">
      <w:pPr>
        <w:pStyle w:val="165"/>
        <w:widowControl/>
        <w:rPr>
          <w:rFonts w:ascii="Times New Roman" w:hAnsi="Times New Roman" w:eastAsia="宋体" w:cs="宋体"/>
          <w:b w:val="0"/>
          <w:bCs w:val="0"/>
          <w:sz w:val="24"/>
          <w:szCs w:val="22"/>
        </w:rPr>
      </w:pPr>
      <w:r>
        <w:rPr>
          <w:rFonts w:ascii="Times New Roman" w:hAnsi="Times New Roman" w:eastAsia="宋体" w:cs="宋体"/>
          <w:b w:val="0"/>
          <w:bCs w:val="0"/>
          <w:sz w:val="24"/>
          <w:szCs w:val="22"/>
        </w:rPr>
        <w:t>图 4-1 DC40K800300 输出 V-I 特性曲线</w:t>
      </w:r>
    </w:p>
    <w:p w14:paraId="79E17FFC">
      <w:pPr>
        <w:jc w:val="center"/>
      </w:pPr>
      <w:r>
        <w:drawing>
          <wp:inline distT="0" distB="0" distL="114300" distR="114300">
            <wp:extent cx="5486400" cy="3623945"/>
            <wp:effectExtent l="0" t="0" r="1905"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5486400" cy="3623945"/>
                    </a:xfrm>
                    <a:prstGeom prst="rect">
                      <a:avLst/>
                    </a:prstGeom>
                  </pic:spPr>
                </pic:pic>
              </a:graphicData>
            </a:graphic>
          </wp:inline>
        </w:drawing>
      </w:r>
    </w:p>
    <w:p w14:paraId="79B84B39">
      <w:pPr>
        <w:pStyle w:val="165"/>
        <w:widowControl/>
        <w:rPr>
          <w:rFonts w:ascii="Times New Roman" w:hAnsi="Times New Roman" w:eastAsia="宋体" w:cs="宋体"/>
          <w:b w:val="0"/>
          <w:bCs w:val="0"/>
          <w:sz w:val="24"/>
          <w:szCs w:val="22"/>
        </w:rPr>
      </w:pPr>
      <w:r>
        <w:rPr>
          <w:rFonts w:ascii="Times New Roman" w:hAnsi="Times New Roman" w:eastAsia="宋体" w:cs="宋体"/>
          <w:b w:val="0"/>
          <w:bCs w:val="0"/>
          <w:sz w:val="24"/>
          <w:szCs w:val="22"/>
        </w:rPr>
        <w:t>图 4-2 DC40K800300 输出 V-P 功率特性曲线</w:t>
      </w:r>
    </w:p>
    <w:p w14:paraId="02CAA62B">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效率特性</w:t>
      </w:r>
    </w:p>
    <w:p w14:paraId="16E1944E">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 500~900Vdc 输入、50%~100% 负载条件下，模块峰值效率 ≥97%，轻载效率亦保持较高水平，有效降低系统损耗。效率曲线见图 5-1。</w:t>
      </w:r>
    </w:p>
    <w:p w14:paraId="26FCF805">
      <w:pPr>
        <w:jc w:val="center"/>
      </w:pPr>
      <w:r>
        <w:drawing>
          <wp:inline distT="0" distB="0" distL="114300" distR="114300">
            <wp:extent cx="5486400" cy="3556635"/>
            <wp:effectExtent l="0" t="0" r="190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5486400" cy="3556635"/>
                    </a:xfrm>
                    <a:prstGeom prst="rect">
                      <a:avLst/>
                    </a:prstGeom>
                  </pic:spPr>
                </pic:pic>
              </a:graphicData>
            </a:graphic>
          </wp:inline>
        </w:drawing>
      </w:r>
    </w:p>
    <w:p w14:paraId="3C123633">
      <w:pPr>
        <w:pStyle w:val="165"/>
        <w:widowControl/>
        <w:rPr>
          <w:rFonts w:ascii="Times New Roman" w:hAnsi="Times New Roman" w:eastAsia="宋体" w:cs="宋体"/>
          <w:b w:val="0"/>
          <w:bCs w:val="0"/>
          <w:sz w:val="24"/>
          <w:szCs w:val="22"/>
        </w:rPr>
      </w:pPr>
      <w:r>
        <w:rPr>
          <w:rFonts w:ascii="Times New Roman" w:hAnsi="Times New Roman" w:eastAsia="宋体" w:cs="宋体"/>
          <w:b w:val="0"/>
          <w:bCs w:val="0"/>
          <w:sz w:val="24"/>
          <w:szCs w:val="22"/>
        </w:rPr>
        <w:t>图 5-1 DC40K800300 效率曲线</w:t>
      </w:r>
    </w:p>
    <w:p w14:paraId="2C897B21">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降额特性</w:t>
      </w:r>
    </w:p>
    <w:p w14:paraId="7D24B1CF">
      <w:pPr>
        <w:pStyle w:val="19"/>
        <w:widowControl/>
        <w:numPr>
          <w:ilvl w:val="0"/>
          <w:numId w:val="8"/>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环境温度降额：环境温度 －40℃~＋55℃ 输出满载；55℃ 以上线性降额，75℃ 降至 0。降额曲线见图 6-1。</w:t>
      </w:r>
    </w:p>
    <w:p w14:paraId="15916F8A">
      <w:pPr>
        <w:jc w:val="center"/>
      </w:pPr>
      <w:r>
        <w:drawing>
          <wp:inline distT="0" distB="0" distL="114300" distR="114300">
            <wp:extent cx="5486400" cy="3589020"/>
            <wp:effectExtent l="0" t="0" r="190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stretch>
                      <a:fillRect/>
                    </a:stretch>
                  </pic:blipFill>
                  <pic:spPr>
                    <a:xfrm>
                      <a:off x="0" y="0"/>
                      <a:ext cx="5486400" cy="3589020"/>
                    </a:xfrm>
                    <a:prstGeom prst="rect">
                      <a:avLst/>
                    </a:prstGeom>
                  </pic:spPr>
                </pic:pic>
              </a:graphicData>
            </a:graphic>
          </wp:inline>
        </w:drawing>
      </w:r>
    </w:p>
    <w:p w14:paraId="7C5DBBF1">
      <w:pPr>
        <w:pStyle w:val="165"/>
        <w:widowControl/>
        <w:rPr>
          <w:rFonts w:ascii="Times New Roman" w:hAnsi="Times New Roman" w:eastAsia="宋体" w:cs="宋体"/>
          <w:b w:val="0"/>
          <w:bCs w:val="0"/>
          <w:sz w:val="24"/>
          <w:szCs w:val="22"/>
        </w:rPr>
      </w:pPr>
      <w:r>
        <w:rPr>
          <w:rFonts w:ascii="Times New Roman" w:hAnsi="Times New Roman" w:eastAsia="宋体" w:cs="宋体"/>
          <w:b w:val="0"/>
          <w:bCs w:val="0"/>
          <w:sz w:val="24"/>
          <w:szCs w:val="22"/>
        </w:rPr>
        <w:t>图 6-1 环境温度-功率降额曲线</w:t>
      </w:r>
    </w:p>
    <w:p w14:paraId="7C9888B8">
      <w:pPr>
        <w:pStyle w:val="19"/>
        <w:widowControl/>
        <w:numPr>
          <w:ilvl w:val="0"/>
          <w:numId w:val="8"/>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输入电压降额：输入 500~900Vdc 范围内额定功率输出；低于 500V 触发欠压保护，高于 900V 触发过压保护。输入电压-功率关系见图 6-2。</w:t>
      </w:r>
    </w:p>
    <w:p w14:paraId="5B983600">
      <w:pPr>
        <w:jc w:val="center"/>
      </w:pPr>
      <w:r>
        <w:drawing>
          <wp:inline distT="0" distB="0" distL="114300" distR="114300">
            <wp:extent cx="5486400" cy="3580130"/>
            <wp:effectExtent l="0" t="0" r="1905" b="165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a:stretch>
                      <a:fillRect/>
                    </a:stretch>
                  </pic:blipFill>
                  <pic:spPr>
                    <a:xfrm>
                      <a:off x="0" y="0"/>
                      <a:ext cx="5486400" cy="3580130"/>
                    </a:xfrm>
                    <a:prstGeom prst="rect">
                      <a:avLst/>
                    </a:prstGeom>
                  </pic:spPr>
                </pic:pic>
              </a:graphicData>
            </a:graphic>
          </wp:inline>
        </w:drawing>
      </w:r>
    </w:p>
    <w:p w14:paraId="3C9AFBD9">
      <w:pPr>
        <w:pStyle w:val="165"/>
        <w:widowControl/>
        <w:rPr>
          <w:rFonts w:ascii="Times New Roman" w:hAnsi="Times New Roman" w:eastAsia="宋体" w:cs="宋体"/>
          <w:b w:val="0"/>
          <w:bCs w:val="0"/>
          <w:sz w:val="24"/>
          <w:szCs w:val="22"/>
        </w:rPr>
      </w:pPr>
      <w:r>
        <w:rPr>
          <w:rFonts w:ascii="Times New Roman" w:hAnsi="Times New Roman" w:eastAsia="宋体" w:cs="宋体"/>
          <w:b w:val="0"/>
          <w:bCs w:val="0"/>
          <w:sz w:val="24"/>
          <w:szCs w:val="22"/>
        </w:rPr>
        <w:t>图 6-2 输入电压-功率降额曲线</w:t>
      </w:r>
    </w:p>
    <w:p w14:paraId="3EAD600F">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纹波与动态响应</w:t>
      </w:r>
    </w:p>
    <w:p w14:paraId="66523103">
      <w:pPr>
        <w:pStyle w:val="19"/>
        <w:widowControl/>
        <w:numPr>
          <w:ilvl w:val="0"/>
          <w:numId w:val="9"/>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输出纹波：输出电压纹波因数 ≤1%（0~20MHz）。额定 300V 输出满载时纹波仿真见图 7-1，实测 Vpp 远小于 1% 限值（≈3V）。</w:t>
      </w:r>
    </w:p>
    <w:p w14:paraId="1B49DB04">
      <w:pPr>
        <w:jc w:val="center"/>
      </w:pPr>
      <w:r>
        <w:drawing>
          <wp:inline distT="0" distB="0" distL="114300" distR="114300">
            <wp:extent cx="5486400" cy="3261995"/>
            <wp:effectExtent l="0" t="0" r="1905" b="165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5486400" cy="3261995"/>
                    </a:xfrm>
                    <a:prstGeom prst="rect">
                      <a:avLst/>
                    </a:prstGeom>
                  </pic:spPr>
                </pic:pic>
              </a:graphicData>
            </a:graphic>
          </wp:inline>
        </w:drawing>
      </w:r>
    </w:p>
    <w:p w14:paraId="48AF61E5">
      <w:pPr>
        <w:pStyle w:val="165"/>
        <w:widowControl/>
        <w:rPr>
          <w:rFonts w:ascii="Times New Roman" w:hAnsi="Times New Roman" w:eastAsia="宋体" w:cs="宋体"/>
          <w:b w:val="0"/>
          <w:bCs w:val="0"/>
          <w:sz w:val="24"/>
          <w:szCs w:val="22"/>
        </w:rPr>
      </w:pPr>
      <w:r>
        <w:rPr>
          <w:rFonts w:ascii="Times New Roman" w:hAnsi="Times New Roman" w:eastAsia="宋体" w:cs="宋体"/>
          <w:b w:val="0"/>
          <w:bCs w:val="0"/>
          <w:sz w:val="24"/>
          <w:szCs w:val="22"/>
        </w:rPr>
        <w:t>图 7-1 输出纹波仿真（Uo=300V，满载 133.3A）</w:t>
      </w:r>
    </w:p>
    <w:p w14:paraId="07DA54E4">
      <w:pPr>
        <w:pStyle w:val="19"/>
        <w:widowControl/>
        <w:numPr>
          <w:ilvl w:val="0"/>
          <w:numId w:val="9"/>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动态响应：负载在 10%~100% 之间阶跃时，输出电压跌落 / 过冲 ≤±3%。例如额定输出 300V 时，瞬间加载或卸载造成的电压波动小于 300×0.03 = 9V</w:t>
      </w:r>
    </w:p>
    <w:p w14:paraId="0CCEE696">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保护功能</w:t>
      </w:r>
    </w:p>
    <w:p w14:paraId="69E0D4B3">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输出过压保护（OVP）：输出电压超过阈值自动关断并告警，可自恢复。</w:t>
      </w:r>
    </w:p>
    <w:p w14:paraId="2C77F5A5">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输出过流 / 短路保护（OCP）：限流点可调，短路时进入恒流并快速限流。</w:t>
      </w:r>
    </w:p>
    <w:p w14:paraId="6328426C">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过温保护（OTP）：散热器温度超限降额并最终关断，温度回落后自动恢复。</w:t>
      </w:r>
    </w:p>
    <w:p w14:paraId="22EC0176">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输入欠压 / 过压保护（UV / OV）：输入 &lt;500V 或 &gt;900V 封锁输出。</w:t>
      </w:r>
    </w:p>
    <w:p w14:paraId="31B7FD03">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风扇堵转 / 失效保护：风道异常时降额运行并告警。</w:t>
      </w:r>
    </w:p>
    <w:p w14:paraId="3B56C2F3">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CAN 通讯中断保护：监控丢失时按预设安全策略保持或缓停输出。</w:t>
      </w:r>
    </w:p>
    <w:p w14:paraId="7CC743E2">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电磁兼容（EMC）与安全法规认证</w:t>
      </w:r>
    </w:p>
    <w:p w14:paraId="405957BB">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模块电磁兼容性能满足电动汽车非车载充电设备相关国家标准与行业标准的严格要求，整机通过第三方检测机构认证。</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2"/>
        <w:gridCol w:w="2952"/>
        <w:gridCol w:w="2952"/>
      </w:tblGrid>
      <w:tr w14:paraId="6FBC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5841DFCC">
            <w:pPr>
              <w:spacing w:after="0" w:line="240" w:lineRule="auto"/>
            </w:pPr>
            <w:r>
              <w:rPr>
                <w:rFonts w:ascii="微软雅黑" w:hAnsi="微软雅黑" w:eastAsia="微软雅黑"/>
                <w:b/>
                <w:sz w:val="19"/>
              </w:rPr>
              <w:t>类别</w:t>
            </w:r>
          </w:p>
        </w:tc>
        <w:tc>
          <w:tcPr>
            <w:tcW w:w="1666" w:type="pct"/>
          </w:tcPr>
          <w:p w14:paraId="2CA59C9D">
            <w:pPr>
              <w:spacing w:after="0" w:line="240" w:lineRule="auto"/>
            </w:pPr>
            <w:r>
              <w:rPr>
                <w:rFonts w:ascii="微软雅黑" w:hAnsi="微软雅黑" w:eastAsia="微软雅黑"/>
                <w:b/>
                <w:sz w:val="19"/>
              </w:rPr>
              <w:t>名称</w:t>
            </w:r>
          </w:p>
        </w:tc>
        <w:tc>
          <w:tcPr>
            <w:tcW w:w="1666" w:type="pct"/>
          </w:tcPr>
          <w:p w14:paraId="25B9DB10">
            <w:pPr>
              <w:spacing w:after="0" w:line="240" w:lineRule="auto"/>
            </w:pPr>
            <w:r>
              <w:rPr>
                <w:rFonts w:ascii="微软雅黑" w:hAnsi="微软雅黑" w:eastAsia="微软雅黑"/>
                <w:b/>
                <w:sz w:val="19"/>
              </w:rPr>
              <w:t>参数</w:t>
            </w:r>
          </w:p>
        </w:tc>
      </w:tr>
      <w:tr w14:paraId="6057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26CC2975">
            <w:pPr>
              <w:spacing w:after="0" w:line="240" w:lineRule="auto"/>
            </w:pPr>
            <w:r>
              <w:rPr>
                <w:rFonts w:ascii="微软雅黑" w:hAnsi="微软雅黑" w:eastAsia="微软雅黑"/>
                <w:sz w:val="19"/>
              </w:rPr>
              <w:t>抗扰度</w:t>
            </w:r>
          </w:p>
        </w:tc>
        <w:tc>
          <w:tcPr>
            <w:tcW w:w="1666" w:type="pct"/>
          </w:tcPr>
          <w:p w14:paraId="1FB2266B">
            <w:pPr>
              <w:spacing w:after="0" w:line="240" w:lineRule="auto"/>
            </w:pPr>
            <w:r>
              <w:rPr>
                <w:rFonts w:ascii="微软雅黑" w:hAnsi="微软雅黑" w:eastAsia="微软雅黑"/>
                <w:sz w:val="19"/>
              </w:rPr>
              <w:t>静电放电抗扰度（ESD）</w:t>
            </w:r>
          </w:p>
        </w:tc>
        <w:tc>
          <w:tcPr>
            <w:tcW w:w="1666" w:type="pct"/>
          </w:tcPr>
          <w:p w14:paraId="3DD355D0">
            <w:pPr>
              <w:spacing w:after="0" w:line="240" w:lineRule="auto"/>
            </w:pPr>
            <w:r>
              <w:rPr>
                <w:rFonts w:ascii="微软雅黑" w:hAnsi="微软雅黑" w:eastAsia="微软雅黑"/>
                <w:sz w:val="19"/>
              </w:rPr>
              <w:t>接触放电 8kV / 空气放电 15kV（IEC 61000-4-2）</w:t>
            </w:r>
          </w:p>
        </w:tc>
      </w:tr>
      <w:tr w14:paraId="3CDA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539E7F6">
            <w:pPr>
              <w:spacing w:after="0" w:line="240" w:lineRule="auto"/>
            </w:pPr>
            <w:r>
              <w:rPr>
                <w:rFonts w:ascii="微软雅黑" w:hAnsi="微软雅黑" w:eastAsia="微软雅黑"/>
                <w:sz w:val="19"/>
              </w:rPr>
              <w:t>抗扰度</w:t>
            </w:r>
          </w:p>
        </w:tc>
        <w:tc>
          <w:tcPr>
            <w:tcW w:w="1666" w:type="pct"/>
          </w:tcPr>
          <w:p w14:paraId="541535F6">
            <w:pPr>
              <w:spacing w:after="0" w:line="240" w:lineRule="auto"/>
            </w:pPr>
            <w:r>
              <w:rPr>
                <w:rFonts w:ascii="微软雅黑" w:hAnsi="微软雅黑" w:eastAsia="微软雅黑"/>
                <w:sz w:val="19"/>
              </w:rPr>
              <w:t>电快速瞬变脉冲群（EFT）</w:t>
            </w:r>
          </w:p>
        </w:tc>
        <w:tc>
          <w:tcPr>
            <w:tcW w:w="1666" w:type="pct"/>
          </w:tcPr>
          <w:p w14:paraId="3E8AA140">
            <w:pPr>
              <w:spacing w:after="0" w:line="240" w:lineRule="auto"/>
            </w:pPr>
            <w:r>
              <w:rPr>
                <w:rFonts w:ascii="微软雅黑" w:hAnsi="微软雅黑" w:eastAsia="微软雅黑"/>
                <w:sz w:val="19"/>
              </w:rPr>
              <w:t>满足 NB/T 33001-1-2018、NB/T 33008-1-2018</w:t>
            </w:r>
          </w:p>
        </w:tc>
      </w:tr>
      <w:tr w14:paraId="0D38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8CDDB73">
            <w:pPr>
              <w:spacing w:after="0" w:line="240" w:lineRule="auto"/>
            </w:pPr>
            <w:r>
              <w:rPr>
                <w:rFonts w:ascii="微软雅黑" w:hAnsi="微软雅黑" w:eastAsia="微软雅黑"/>
                <w:sz w:val="19"/>
              </w:rPr>
              <w:t>抗扰度</w:t>
            </w:r>
          </w:p>
        </w:tc>
        <w:tc>
          <w:tcPr>
            <w:tcW w:w="1666" w:type="pct"/>
          </w:tcPr>
          <w:p w14:paraId="59C5CB40">
            <w:pPr>
              <w:spacing w:after="0" w:line="240" w:lineRule="auto"/>
            </w:pPr>
            <w:r>
              <w:rPr>
                <w:rFonts w:ascii="微软雅黑" w:hAnsi="微软雅黑" w:eastAsia="微软雅黑"/>
                <w:sz w:val="19"/>
              </w:rPr>
              <w:t>射频辐射电磁场抗扰度</w:t>
            </w:r>
          </w:p>
        </w:tc>
        <w:tc>
          <w:tcPr>
            <w:tcW w:w="1666" w:type="pct"/>
          </w:tcPr>
          <w:p w14:paraId="07E99276">
            <w:pPr>
              <w:spacing w:after="0" w:line="240" w:lineRule="auto"/>
            </w:pPr>
            <w:r>
              <w:rPr>
                <w:rFonts w:ascii="微软雅黑" w:hAnsi="微软雅黑" w:eastAsia="微软雅黑"/>
                <w:sz w:val="19"/>
              </w:rPr>
              <w:t>10V（80MHz～2GHz，IEC 61000-4-3）</w:t>
            </w:r>
          </w:p>
        </w:tc>
      </w:tr>
      <w:tr w14:paraId="5873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AFBEC9E">
            <w:pPr>
              <w:spacing w:after="0" w:line="240" w:lineRule="auto"/>
            </w:pPr>
            <w:r>
              <w:rPr>
                <w:rFonts w:ascii="微软雅黑" w:hAnsi="微软雅黑" w:eastAsia="微软雅黑"/>
                <w:sz w:val="19"/>
              </w:rPr>
              <w:t>抗扰度</w:t>
            </w:r>
          </w:p>
        </w:tc>
        <w:tc>
          <w:tcPr>
            <w:tcW w:w="1666" w:type="pct"/>
          </w:tcPr>
          <w:p w14:paraId="425AA231">
            <w:pPr>
              <w:spacing w:after="0" w:line="240" w:lineRule="auto"/>
            </w:pPr>
            <w:r>
              <w:rPr>
                <w:rFonts w:ascii="微软雅黑" w:hAnsi="微软雅黑" w:eastAsia="微软雅黑"/>
                <w:sz w:val="19"/>
              </w:rPr>
              <w:t>射频传导骚扰抗扰度</w:t>
            </w:r>
          </w:p>
        </w:tc>
        <w:tc>
          <w:tcPr>
            <w:tcW w:w="1666" w:type="pct"/>
          </w:tcPr>
          <w:p w14:paraId="499A88AB">
            <w:pPr>
              <w:spacing w:after="0" w:line="240" w:lineRule="auto"/>
            </w:pPr>
            <w:r>
              <w:rPr>
                <w:rFonts w:ascii="微软雅黑" w:hAnsi="微软雅黑" w:eastAsia="微软雅黑"/>
                <w:sz w:val="19"/>
              </w:rPr>
              <w:t>3Vrms（0.15～80MHz，IEC 61000-4-6）</w:t>
            </w:r>
          </w:p>
        </w:tc>
      </w:tr>
      <w:tr w14:paraId="48F8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4B08C329">
            <w:pPr>
              <w:spacing w:after="0" w:line="240" w:lineRule="auto"/>
            </w:pPr>
            <w:r>
              <w:rPr>
                <w:rFonts w:ascii="微软雅黑" w:hAnsi="微软雅黑" w:eastAsia="微软雅黑"/>
                <w:sz w:val="19"/>
              </w:rPr>
              <w:t>抗扰度</w:t>
            </w:r>
          </w:p>
        </w:tc>
        <w:tc>
          <w:tcPr>
            <w:tcW w:w="1666" w:type="pct"/>
          </w:tcPr>
          <w:p w14:paraId="71AAB046">
            <w:pPr>
              <w:spacing w:after="0" w:line="240" w:lineRule="auto"/>
            </w:pPr>
            <w:r>
              <w:rPr>
                <w:rFonts w:ascii="微软雅黑" w:hAnsi="微软雅黑" w:eastAsia="微软雅黑"/>
                <w:sz w:val="19"/>
              </w:rPr>
              <w:t>工频磁场抗扰度</w:t>
            </w:r>
          </w:p>
        </w:tc>
        <w:tc>
          <w:tcPr>
            <w:tcW w:w="1666" w:type="pct"/>
          </w:tcPr>
          <w:p w14:paraId="213F0A4F">
            <w:pPr>
              <w:spacing w:after="0" w:line="240" w:lineRule="auto"/>
            </w:pPr>
            <w:r>
              <w:rPr>
                <w:rFonts w:ascii="微软雅黑" w:hAnsi="微软雅黑" w:eastAsia="微软雅黑"/>
                <w:sz w:val="19"/>
              </w:rPr>
              <w:t>30A/m（IEC 61000-4-8）</w:t>
            </w:r>
          </w:p>
        </w:tc>
      </w:tr>
      <w:tr w14:paraId="1A2A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4FCA9D2">
            <w:pPr>
              <w:spacing w:after="0" w:line="240" w:lineRule="auto"/>
            </w:pPr>
            <w:r>
              <w:rPr>
                <w:rFonts w:ascii="微软雅黑" w:hAnsi="微软雅黑" w:eastAsia="微软雅黑"/>
                <w:sz w:val="19"/>
              </w:rPr>
              <w:t>抗扰度</w:t>
            </w:r>
          </w:p>
        </w:tc>
        <w:tc>
          <w:tcPr>
            <w:tcW w:w="1666" w:type="pct"/>
          </w:tcPr>
          <w:p w14:paraId="28834CF8">
            <w:pPr>
              <w:spacing w:after="0" w:line="240" w:lineRule="auto"/>
            </w:pPr>
            <w:r>
              <w:rPr>
                <w:rFonts w:ascii="微软雅黑" w:hAnsi="微软雅黑" w:eastAsia="微软雅黑"/>
                <w:sz w:val="19"/>
              </w:rPr>
              <w:t>浪涌（冲击）抗扰度</w:t>
            </w:r>
          </w:p>
        </w:tc>
        <w:tc>
          <w:tcPr>
            <w:tcW w:w="1666" w:type="pct"/>
          </w:tcPr>
          <w:p w14:paraId="0F2A112A">
            <w:pPr>
              <w:spacing w:after="0" w:line="240" w:lineRule="auto"/>
            </w:pPr>
            <w:r>
              <w:rPr>
                <w:rFonts w:ascii="微软雅黑" w:hAnsi="微软雅黑" w:eastAsia="微软雅黑"/>
                <w:sz w:val="19"/>
              </w:rPr>
              <w:t>满足 IEEE C62.41-1991 Class B3 等级，6kV/3kA（1.2/50μs 与 8/20μs 混合波）</w:t>
            </w:r>
          </w:p>
        </w:tc>
      </w:tr>
      <w:tr w14:paraId="1B40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744601A">
            <w:pPr>
              <w:spacing w:after="0" w:line="240" w:lineRule="auto"/>
            </w:pPr>
            <w:r>
              <w:rPr>
                <w:rFonts w:ascii="微软雅黑" w:hAnsi="微软雅黑" w:eastAsia="微软雅黑"/>
                <w:sz w:val="19"/>
              </w:rPr>
              <w:t>发射</w:t>
            </w:r>
          </w:p>
        </w:tc>
        <w:tc>
          <w:tcPr>
            <w:tcW w:w="1666" w:type="pct"/>
          </w:tcPr>
          <w:p w14:paraId="60720730">
            <w:pPr>
              <w:spacing w:after="0" w:line="240" w:lineRule="auto"/>
            </w:pPr>
            <w:r>
              <w:rPr>
                <w:rFonts w:ascii="微软雅黑" w:hAnsi="微软雅黑" w:eastAsia="微软雅黑"/>
                <w:sz w:val="19"/>
              </w:rPr>
              <w:t>传导发射</w:t>
            </w:r>
          </w:p>
        </w:tc>
        <w:tc>
          <w:tcPr>
            <w:tcW w:w="1666" w:type="pct"/>
          </w:tcPr>
          <w:p w14:paraId="2DF7D334">
            <w:pPr>
              <w:spacing w:after="0" w:line="240" w:lineRule="auto"/>
            </w:pPr>
            <w:r>
              <w:rPr>
                <w:rFonts w:ascii="微软雅黑" w:hAnsi="微软雅黑" w:eastAsia="微软雅黑"/>
                <w:sz w:val="19"/>
              </w:rPr>
              <w:t>Class A，满足 NB/T 33001-1-2018、NB/T 33008-1-2018</w:t>
            </w:r>
          </w:p>
        </w:tc>
      </w:tr>
      <w:tr w14:paraId="2696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CF76C75">
            <w:pPr>
              <w:spacing w:after="0" w:line="240" w:lineRule="auto"/>
            </w:pPr>
            <w:r>
              <w:rPr>
                <w:rFonts w:ascii="微软雅黑" w:hAnsi="微软雅黑" w:eastAsia="微软雅黑"/>
                <w:sz w:val="19"/>
              </w:rPr>
              <w:t>发射</w:t>
            </w:r>
          </w:p>
        </w:tc>
        <w:tc>
          <w:tcPr>
            <w:tcW w:w="1666" w:type="pct"/>
          </w:tcPr>
          <w:p w14:paraId="41295706">
            <w:pPr>
              <w:spacing w:after="0" w:line="240" w:lineRule="auto"/>
            </w:pPr>
            <w:r>
              <w:rPr>
                <w:rFonts w:ascii="微软雅黑" w:hAnsi="微软雅黑" w:eastAsia="微软雅黑"/>
                <w:sz w:val="19"/>
              </w:rPr>
              <w:t>辐射发射</w:t>
            </w:r>
          </w:p>
        </w:tc>
        <w:tc>
          <w:tcPr>
            <w:tcW w:w="1666" w:type="pct"/>
          </w:tcPr>
          <w:p w14:paraId="4624D2D2">
            <w:pPr>
              <w:spacing w:after="0" w:line="240" w:lineRule="auto"/>
            </w:pPr>
            <w:r>
              <w:rPr>
                <w:rFonts w:ascii="微软雅黑" w:hAnsi="微软雅黑" w:eastAsia="微软雅黑"/>
                <w:sz w:val="19"/>
              </w:rPr>
              <w:t>Class A，满足 NB/T 33001-1-2018、NB/T 33008-1-2018</w:t>
            </w:r>
          </w:p>
        </w:tc>
      </w:tr>
      <w:tr w14:paraId="62FF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58190E1">
            <w:pPr>
              <w:spacing w:after="0" w:line="240" w:lineRule="auto"/>
            </w:pPr>
            <w:r>
              <w:rPr>
                <w:rFonts w:ascii="微软雅黑" w:hAnsi="微软雅黑" w:eastAsia="微软雅黑"/>
                <w:sz w:val="19"/>
              </w:rPr>
              <w:t>安规与绝缘</w:t>
            </w:r>
          </w:p>
        </w:tc>
        <w:tc>
          <w:tcPr>
            <w:tcW w:w="1666" w:type="pct"/>
          </w:tcPr>
          <w:p w14:paraId="4AFF8CEE">
            <w:pPr>
              <w:spacing w:after="0" w:line="240" w:lineRule="auto"/>
            </w:pPr>
            <w:r>
              <w:rPr>
                <w:rFonts w:ascii="微软雅黑" w:hAnsi="微软雅黑" w:eastAsia="微软雅黑"/>
                <w:sz w:val="19"/>
              </w:rPr>
              <w:t>安规要求</w:t>
            </w:r>
          </w:p>
        </w:tc>
        <w:tc>
          <w:tcPr>
            <w:tcW w:w="1666" w:type="pct"/>
          </w:tcPr>
          <w:p w14:paraId="0B98430A">
            <w:pPr>
              <w:spacing w:after="0" w:line="240" w:lineRule="auto"/>
            </w:pPr>
            <w:r>
              <w:rPr>
                <w:rFonts w:ascii="微软雅黑" w:hAnsi="微软雅黑" w:eastAsia="微软雅黑"/>
                <w:sz w:val="19"/>
              </w:rPr>
              <w:t>满足 IEC 61851-1、IEC 61851-23、UL 2202</w:t>
            </w:r>
          </w:p>
        </w:tc>
      </w:tr>
      <w:tr w14:paraId="236E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7F8325EA">
            <w:pPr>
              <w:spacing w:after="0" w:line="240" w:lineRule="auto"/>
            </w:pPr>
            <w:r>
              <w:rPr>
                <w:rFonts w:ascii="微软雅黑" w:hAnsi="微软雅黑" w:eastAsia="微软雅黑"/>
                <w:sz w:val="19"/>
              </w:rPr>
              <w:t>安规与绝缘</w:t>
            </w:r>
          </w:p>
        </w:tc>
        <w:tc>
          <w:tcPr>
            <w:tcW w:w="1666" w:type="pct"/>
          </w:tcPr>
          <w:p w14:paraId="492D3983">
            <w:pPr>
              <w:spacing w:after="0" w:line="240" w:lineRule="auto"/>
            </w:pPr>
            <w:r>
              <w:rPr>
                <w:rFonts w:ascii="微软雅黑" w:hAnsi="微软雅黑" w:eastAsia="微软雅黑"/>
                <w:sz w:val="19"/>
              </w:rPr>
              <w:t>绝缘强度</w:t>
            </w:r>
          </w:p>
        </w:tc>
        <w:tc>
          <w:tcPr>
            <w:tcW w:w="1666" w:type="pct"/>
          </w:tcPr>
          <w:p w14:paraId="14137381">
            <w:pPr>
              <w:spacing w:after="0" w:line="240" w:lineRule="auto"/>
            </w:pPr>
            <w:r>
              <w:rPr>
                <w:rFonts w:ascii="微软雅黑" w:hAnsi="微软雅黑" w:eastAsia="微软雅黑"/>
                <w:sz w:val="19"/>
              </w:rPr>
              <w:t>直流输入/输出对外壳、输入对输出：3110Vdc 耐压 1min，无击穿、无飞弧，稳态漏电流 &lt;1mA；CAN 对壳体 707Vdc，CAN 对输入/输出 6220Vdc</w:t>
            </w:r>
          </w:p>
        </w:tc>
      </w:tr>
      <w:tr w14:paraId="507D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28A558EA">
            <w:pPr>
              <w:spacing w:after="0" w:line="240" w:lineRule="auto"/>
            </w:pPr>
            <w:r>
              <w:rPr>
                <w:rFonts w:ascii="微软雅黑" w:hAnsi="微软雅黑" w:eastAsia="微软雅黑"/>
                <w:sz w:val="19"/>
              </w:rPr>
              <w:t>安规与绝缘</w:t>
            </w:r>
          </w:p>
        </w:tc>
        <w:tc>
          <w:tcPr>
            <w:tcW w:w="1666" w:type="pct"/>
          </w:tcPr>
          <w:p w14:paraId="5F5BFAAA">
            <w:pPr>
              <w:spacing w:after="0" w:line="240" w:lineRule="auto"/>
            </w:pPr>
            <w:r>
              <w:rPr>
                <w:rFonts w:ascii="微软雅黑" w:hAnsi="微软雅黑" w:eastAsia="微软雅黑"/>
                <w:sz w:val="19"/>
              </w:rPr>
              <w:t>绝缘电阻</w:t>
            </w:r>
          </w:p>
        </w:tc>
        <w:tc>
          <w:tcPr>
            <w:tcW w:w="1666" w:type="pct"/>
          </w:tcPr>
          <w:p w14:paraId="045E8172">
            <w:pPr>
              <w:spacing w:after="0" w:line="240" w:lineRule="auto"/>
            </w:pPr>
            <w:r>
              <w:rPr>
                <w:rFonts w:ascii="微软雅黑" w:hAnsi="微软雅黑" w:eastAsia="微软雅黑"/>
                <w:sz w:val="19"/>
              </w:rPr>
              <w:t>直流部分对外壳之间 ≥10MΩ</w:t>
            </w:r>
          </w:p>
        </w:tc>
      </w:tr>
      <w:tr w14:paraId="2327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198A30A4">
            <w:pPr>
              <w:spacing w:after="0" w:line="240" w:lineRule="auto"/>
            </w:pPr>
            <w:r>
              <w:rPr>
                <w:rFonts w:ascii="微软雅黑" w:hAnsi="微软雅黑" w:eastAsia="微软雅黑"/>
                <w:sz w:val="19"/>
              </w:rPr>
              <w:t>安规与绝缘</w:t>
            </w:r>
          </w:p>
        </w:tc>
        <w:tc>
          <w:tcPr>
            <w:tcW w:w="1666" w:type="pct"/>
          </w:tcPr>
          <w:p w14:paraId="08677563">
            <w:pPr>
              <w:spacing w:after="0" w:line="240" w:lineRule="auto"/>
            </w:pPr>
            <w:r>
              <w:rPr>
                <w:rFonts w:ascii="微软雅黑" w:hAnsi="微软雅黑" w:eastAsia="微软雅黑"/>
                <w:sz w:val="19"/>
              </w:rPr>
              <w:t>接地电阻</w:t>
            </w:r>
          </w:p>
        </w:tc>
        <w:tc>
          <w:tcPr>
            <w:tcW w:w="1666" w:type="pct"/>
          </w:tcPr>
          <w:p w14:paraId="7DCEEE70">
            <w:pPr>
              <w:spacing w:after="0" w:line="240" w:lineRule="auto"/>
            </w:pPr>
            <w:r>
              <w:rPr>
                <w:rFonts w:ascii="微软雅黑" w:hAnsi="微软雅黑" w:eastAsia="微软雅黑"/>
                <w:sz w:val="19"/>
              </w:rPr>
              <w:t>≤0.1Ω，承受电流 ≥80A</w:t>
            </w:r>
          </w:p>
        </w:tc>
      </w:tr>
      <w:tr w14:paraId="3CB6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2C702B4">
            <w:pPr>
              <w:spacing w:after="0" w:line="240" w:lineRule="auto"/>
            </w:pPr>
            <w:r>
              <w:rPr>
                <w:rFonts w:ascii="微软雅黑" w:hAnsi="微软雅黑" w:eastAsia="微软雅黑"/>
                <w:sz w:val="19"/>
              </w:rPr>
              <w:t>安规与绝缘</w:t>
            </w:r>
          </w:p>
        </w:tc>
        <w:tc>
          <w:tcPr>
            <w:tcW w:w="1666" w:type="pct"/>
          </w:tcPr>
          <w:p w14:paraId="14BFAACA">
            <w:pPr>
              <w:spacing w:after="0" w:line="240" w:lineRule="auto"/>
            </w:pPr>
            <w:r>
              <w:rPr>
                <w:rFonts w:ascii="微软雅黑" w:hAnsi="微软雅黑" w:eastAsia="微软雅黑"/>
                <w:sz w:val="19"/>
              </w:rPr>
              <w:t>漏电流</w:t>
            </w:r>
          </w:p>
        </w:tc>
        <w:tc>
          <w:tcPr>
            <w:tcW w:w="1666" w:type="pct"/>
          </w:tcPr>
          <w:p w14:paraId="62C4F499">
            <w:pPr>
              <w:spacing w:after="0" w:line="240" w:lineRule="auto"/>
            </w:pPr>
            <w:r>
              <w:rPr>
                <w:rFonts w:ascii="微软雅黑" w:hAnsi="微软雅黑" w:eastAsia="微软雅黑"/>
                <w:sz w:val="19"/>
              </w:rPr>
              <w:t>≤3.5mA</w:t>
            </w:r>
          </w:p>
        </w:tc>
      </w:tr>
      <w:tr w14:paraId="3C62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3EC51466">
            <w:pPr>
              <w:spacing w:after="0" w:line="240" w:lineRule="auto"/>
            </w:pPr>
            <w:r>
              <w:rPr>
                <w:rFonts w:ascii="微软雅黑" w:hAnsi="微软雅黑" w:eastAsia="微软雅黑"/>
                <w:sz w:val="19"/>
              </w:rPr>
              <w:t>法规与认证</w:t>
            </w:r>
          </w:p>
        </w:tc>
        <w:tc>
          <w:tcPr>
            <w:tcW w:w="1666" w:type="pct"/>
          </w:tcPr>
          <w:p w14:paraId="5F411E13">
            <w:pPr>
              <w:spacing w:after="0" w:line="240" w:lineRule="auto"/>
            </w:pPr>
            <w:r>
              <w:rPr>
                <w:rFonts w:ascii="微软雅黑" w:hAnsi="微软雅黑" w:eastAsia="微软雅黑"/>
                <w:sz w:val="19"/>
              </w:rPr>
              <w:t>浪涌保护</w:t>
            </w:r>
          </w:p>
        </w:tc>
        <w:tc>
          <w:tcPr>
            <w:tcW w:w="1666" w:type="pct"/>
          </w:tcPr>
          <w:p w14:paraId="6BBDC2C0">
            <w:pPr>
              <w:spacing w:after="0" w:line="240" w:lineRule="auto"/>
            </w:pPr>
            <w:r>
              <w:rPr>
                <w:rFonts w:ascii="微软雅黑" w:hAnsi="微软雅黑" w:eastAsia="微软雅黑"/>
                <w:sz w:val="19"/>
              </w:rPr>
              <w:t>IEEE C62.41-1991 Class B3，6kV/3kA</w:t>
            </w:r>
          </w:p>
        </w:tc>
      </w:tr>
      <w:tr w14:paraId="26A0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2FF26190">
            <w:pPr>
              <w:spacing w:after="0" w:line="240" w:lineRule="auto"/>
            </w:pPr>
            <w:r>
              <w:rPr>
                <w:rFonts w:ascii="微软雅黑" w:hAnsi="微软雅黑" w:eastAsia="微软雅黑"/>
                <w:sz w:val="19"/>
              </w:rPr>
              <w:t>法规与认证</w:t>
            </w:r>
          </w:p>
        </w:tc>
        <w:tc>
          <w:tcPr>
            <w:tcW w:w="1666" w:type="pct"/>
          </w:tcPr>
          <w:p w14:paraId="1CE48101">
            <w:pPr>
              <w:spacing w:after="0" w:line="240" w:lineRule="auto"/>
            </w:pPr>
            <w:r>
              <w:rPr>
                <w:rFonts w:ascii="微软雅黑" w:hAnsi="微软雅黑" w:eastAsia="微软雅黑"/>
                <w:sz w:val="19"/>
              </w:rPr>
              <w:t>防护等级</w:t>
            </w:r>
          </w:p>
        </w:tc>
        <w:tc>
          <w:tcPr>
            <w:tcW w:w="1666" w:type="pct"/>
          </w:tcPr>
          <w:p w14:paraId="110CEDF6">
            <w:pPr>
              <w:spacing w:after="0" w:line="240" w:lineRule="auto"/>
            </w:pPr>
            <w:r>
              <w:rPr>
                <w:rFonts w:ascii="微软雅黑" w:hAnsi="微软雅黑" w:eastAsia="微软雅黑"/>
                <w:sz w:val="19"/>
              </w:rPr>
              <w:t>IP20</w:t>
            </w:r>
          </w:p>
        </w:tc>
      </w:tr>
      <w:tr w14:paraId="381F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5C76AFAD">
            <w:pPr>
              <w:spacing w:after="0" w:line="240" w:lineRule="auto"/>
            </w:pPr>
            <w:r>
              <w:rPr>
                <w:rFonts w:ascii="微软雅黑" w:hAnsi="微软雅黑" w:eastAsia="微软雅黑"/>
                <w:sz w:val="19"/>
              </w:rPr>
              <w:t>法规与认证</w:t>
            </w:r>
          </w:p>
        </w:tc>
        <w:tc>
          <w:tcPr>
            <w:tcW w:w="1666" w:type="pct"/>
          </w:tcPr>
          <w:p w14:paraId="0DD786C4">
            <w:pPr>
              <w:spacing w:after="0" w:line="240" w:lineRule="auto"/>
            </w:pPr>
            <w:r>
              <w:rPr>
                <w:rFonts w:ascii="微软雅黑" w:hAnsi="微软雅黑" w:eastAsia="微软雅黑"/>
                <w:sz w:val="19"/>
              </w:rPr>
              <w:t>环保要求</w:t>
            </w:r>
          </w:p>
        </w:tc>
        <w:tc>
          <w:tcPr>
            <w:tcW w:w="1666" w:type="pct"/>
          </w:tcPr>
          <w:p w14:paraId="5D47BF95">
            <w:pPr>
              <w:spacing w:after="0" w:line="240" w:lineRule="auto"/>
            </w:pPr>
            <w:r>
              <w:rPr>
                <w:rFonts w:ascii="微软雅黑" w:hAnsi="微软雅黑" w:eastAsia="微软雅黑"/>
                <w:sz w:val="19"/>
              </w:rPr>
              <w:t>符合 ROHS（Directive 2011/65/EU 及 (EU) 2015/863）、REACH（(EC) No 1907/2006）</w:t>
            </w:r>
          </w:p>
        </w:tc>
      </w:tr>
      <w:tr w14:paraId="63B0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Pr>
          <w:p w14:paraId="6FDC2A38">
            <w:pPr>
              <w:spacing w:after="0" w:line="240" w:lineRule="auto"/>
            </w:pPr>
            <w:r>
              <w:rPr>
                <w:rFonts w:ascii="微软雅黑" w:hAnsi="微软雅黑" w:eastAsia="微软雅黑"/>
                <w:sz w:val="19"/>
              </w:rPr>
              <w:t>法规与认证</w:t>
            </w:r>
          </w:p>
        </w:tc>
        <w:tc>
          <w:tcPr>
            <w:tcW w:w="1666" w:type="pct"/>
          </w:tcPr>
          <w:p w14:paraId="458A19E9">
            <w:pPr>
              <w:spacing w:after="0" w:line="240" w:lineRule="auto"/>
            </w:pPr>
            <w:r>
              <w:rPr>
                <w:rFonts w:ascii="微软雅黑" w:hAnsi="微软雅黑" w:eastAsia="微软雅黑"/>
                <w:sz w:val="19"/>
              </w:rPr>
              <w:t>参考标准</w:t>
            </w:r>
          </w:p>
        </w:tc>
        <w:tc>
          <w:tcPr>
            <w:tcW w:w="1666" w:type="pct"/>
          </w:tcPr>
          <w:p w14:paraId="3737B856">
            <w:pPr>
              <w:spacing w:after="0" w:line="240" w:lineRule="auto"/>
            </w:pPr>
            <w:r>
              <w:rPr>
                <w:rFonts w:ascii="微软雅黑" w:hAnsi="微软雅黑" w:eastAsia="微软雅黑"/>
                <w:sz w:val="19"/>
              </w:rPr>
              <w:t>NB/T 33001-1-2018、NB/T 33008.1-2018、GB/T 18487.2-2017</w:t>
            </w:r>
          </w:p>
        </w:tc>
      </w:tr>
    </w:tbl>
    <w:p w14:paraId="304FADF6"/>
    <w:p w14:paraId="4E9BDB98">
      <w:pPr>
        <w:pStyle w:val="3"/>
        <w:rPr>
          <w:rFonts w:ascii="Times New Roman" w:hAnsi="Times New Roman" w:eastAsia="黑体" w:cs="Times New Roman"/>
          <w:b w:val="0"/>
          <w:bCs w:val="0"/>
          <w:sz w:val="32"/>
          <w:szCs w:val="44"/>
        </w:rPr>
      </w:pPr>
      <w:r>
        <w:rPr>
          <w:rFonts w:ascii="Times New Roman" w:hAnsi="Times New Roman" w:eastAsia="黑体" w:cs="Times New Roman"/>
          <w:b w:val="0"/>
          <w:bCs w:val="0"/>
          <w:sz w:val="32"/>
          <w:szCs w:val="44"/>
        </w:rPr>
        <w:t>010. 机械结构</w:t>
      </w:r>
    </w:p>
    <w:p w14:paraId="4F9EE8CD">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模块采用标准 2U/3U 机架式封装，前面板含状态指示灯、显示窗与把手，后部为直流功率端子与 CAN 通讯接口。机械参数：尺寸 84×300×395 mm（宽×深×高），重量 ≤16kg，噪声 ≤65dB(A)@1m，防护等级 IP20，强迫风冷。</w:t>
      </w:r>
    </w:p>
    <w:p w14:paraId="6D6789E6">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通讯接口（CAN）</w:t>
      </w:r>
    </w:p>
    <w:p w14:paraId="5B851E3F">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模块提供 CAN 2.0B 通讯接口（250kbps），用于与上位机 / 监控模块通讯，支持以下主要功能：</w:t>
      </w:r>
    </w:p>
    <w:p w14:paraId="0ADAE403">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远程启停、输出电压 / 电流设定（调压、限流）。</w:t>
      </w:r>
    </w:p>
    <w:p w14:paraId="42669E34">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实时回读输出电压、输出电流、温度、状态字。</w:t>
      </w:r>
    </w:p>
    <w:p w14:paraId="62AD61FB">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故障告警与保护状态上报。</w:t>
      </w:r>
    </w:p>
    <w:p w14:paraId="7CCC0093">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均流使能，配合多台并联实现负载自动均分（≤±5% 额定电流）。</w:t>
      </w:r>
    </w:p>
    <w:p w14:paraId="3C0B9D96">
      <w:pPr>
        <w:pStyle w:val="3"/>
        <w:numPr>
          <w:ilvl w:val="0"/>
          <w:numId w:val="7"/>
        </w:numPr>
        <w:ind w:left="0" w:leftChars="0" w:firstLine="0" w:firstLineChars="0"/>
        <w:rPr>
          <w:rFonts w:eastAsia="黑体"/>
          <w:b w:val="0"/>
          <w:bCs w:val="0"/>
          <w:sz w:val="32"/>
          <w:szCs w:val="44"/>
          <w:bdr w:val="none" w:sz="0" w:space="0"/>
        </w:rPr>
      </w:pPr>
      <w:r>
        <w:rPr>
          <w:rFonts w:ascii="Times New Roman" w:hAnsi="Times New Roman" w:eastAsia="黑体" w:cs="Times New Roman"/>
          <w:b w:val="0"/>
          <w:bCs w:val="0"/>
          <w:sz w:val="32"/>
          <w:szCs w:val="44"/>
        </w:rPr>
        <w:t>安装与接线要点</w:t>
      </w:r>
    </w:p>
    <w:p w14:paraId="7033DB20">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模块应安装在通风良好的机柜内，保证前后风道顺畅，进出风面预留 ≥50mm 间距。</w:t>
      </w:r>
    </w:p>
    <w:p w14:paraId="099A49ED">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直流输入（+/−/PE）与输出（+/−）须使用足够截面的铜排或电缆，连接牢固、接触电阻小。</w:t>
      </w:r>
    </w:p>
    <w:p w14:paraId="2EEF5E74">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PE 保护地必须可靠连接，接地电阻 ≤0.1Ω。</w:t>
      </w:r>
    </w:p>
    <w:p w14:paraId="13120C9D">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CAN 总线采用屏蔽双绞线，首尾端并联 120Ω 终端电阻，避免与功率线平行走线。</w:t>
      </w:r>
    </w:p>
    <w:p w14:paraId="143432D6">
      <w:pPr>
        <w:pStyle w:val="19"/>
        <w:widowControl/>
        <w:numPr>
          <w:ilvl w:val="0"/>
          <w:numId w:val="3"/>
        </w:numPr>
        <w:rPr>
          <w:rFonts w:eastAsia="宋体"/>
          <w:b w:val="0"/>
          <w:bCs w:val="0"/>
          <w:sz w:val="24"/>
          <w:szCs w:val="24"/>
        </w:rPr>
      </w:pPr>
      <w:r>
        <w:rPr>
          <w:rFonts w:ascii="Times New Roman" w:hAnsi="Times New Roman" w:eastAsia="宋体" w:cs="Times New Roman"/>
          <w:b w:val="0"/>
          <w:bCs w:val="0"/>
          <w:sz w:val="24"/>
          <w:szCs w:val="24"/>
        </w:rPr>
        <w:t>通电前确认输入电压在 500~900Vdc 范围内，极性正确，无短路。</w:t>
      </w:r>
    </w:p>
    <w:p w14:paraId="654EE07A"/>
    <w:p w14:paraId="1C105D4A">
      <w:pPr>
        <w:pStyle w:val="19"/>
        <w:widowControl/>
        <w:rPr>
          <w:rFonts w:ascii="Times New Roman" w:hAnsi="Times New Roman" w:eastAsia="宋体" w:cs="Times New Roman"/>
          <w:b w:val="0"/>
          <w:bCs w:val="0"/>
          <w:sz w:val="24"/>
          <w:szCs w:val="24"/>
        </w:rPr>
      </w:pPr>
      <w:r>
        <w:rPr>
          <w:rFonts w:ascii="Times New Roman" w:hAnsi="Times New Roman" w:eastAsia="宋体" w:cs="Times New Roman"/>
          <w:b w:val="0"/>
          <w:bCs w:val="0"/>
          <w:color w:val="7F8C8D"/>
          <w:sz w:val="24"/>
          <w:szCs w:val="24"/>
        </w:rPr>
        <w:t>— 本规格书为 DC40K800300 模块对外技术资料，最终参数以实测与出厂检验为准。 —</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B1703"/>
    <w:multiLevelType w:val="singleLevel"/>
    <w:tmpl w:val="860B1703"/>
    <w:lvl w:ilvl="0" w:tentative="0">
      <w:start w:val="1"/>
      <w:numFmt w:val="decimal"/>
      <w:suff w:val="space"/>
      <w:lvlText w:val="6.%1"/>
      <w:lvlJc w:val="left"/>
      <w:pPr>
        <w:ind w:left="0" w:firstLine="480"/>
      </w:pPr>
      <w:rPr>
        <w:rFonts w:hint="default"/>
      </w:rPr>
    </w:lvl>
  </w:abstractNum>
  <w:abstractNum w:abstractNumId="1">
    <w:nsid w:val="B888D383"/>
    <w:multiLevelType w:val="singleLevel"/>
    <w:tmpl w:val="B888D383"/>
    <w:lvl w:ilvl="0" w:tentative="0">
      <w:start w:val="1"/>
      <w:numFmt w:val="decimal"/>
      <w:suff w:val="space"/>
      <w:lvlText w:val="7.%1"/>
      <w:lvlJc w:val="left"/>
      <w:pPr>
        <w:ind w:left="0" w:firstLine="480"/>
      </w:pPr>
      <w:rPr>
        <w:rFonts w:hint="default"/>
      </w:r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8">
    <w:nsid w:val="6D0BA3E4"/>
    <w:multiLevelType w:val="singleLevel"/>
    <w:tmpl w:val="6D0BA3E4"/>
    <w:lvl w:ilvl="0" w:tentative="0">
      <w:start w:val="1"/>
      <w:numFmt w:val="decimal"/>
      <w:suff w:val="space"/>
      <w:lvlText w:val="%1."/>
      <w:lvlJc w:val="left"/>
      <w:pPr>
        <w:ind w:left="0" w:firstLine="0"/>
      </w:pPr>
      <w:rPr>
        <w:rFonts w:hint="default"/>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15739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微软雅黑" w:hAnsi="微软雅黑" w:eastAsia="微软雅黑" w:cstheme="minorBidi"/>
      <w:sz w:val="21"/>
      <w:szCs w:val="22"/>
      <w:lang w:val="en-US" w:eastAsia="en-US" w:bidi="ar-SA"/>
    </w:rPr>
  </w:style>
  <w:style w:type="paragraph" w:styleId="3">
    <w:name w:val="heading 1"/>
    <w:next w:val="1"/>
    <w:link w:val="138"/>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4">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unhideWhenUsed/>
    <w:qFormat/>
    <w:uiPriority w:val="9"/>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link w:val="151"/>
    <w:semiHidden/>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link w:val="152"/>
    <w:semiHidden/>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link w:val="153"/>
    <w:semiHidden/>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link w:val="154"/>
    <w:semiHidden/>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link w:val="155"/>
    <w:semiHidden/>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link w:val="156"/>
    <w:semiHidden/>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39">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874CB"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unhideWhenUsed/>
    <w:qFormat/>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next w:val="1"/>
    <w:qFormat/>
    <w:uiPriority w:val="11"/>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next w:val="1"/>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2E54A1" w:themeColor="accent1" w:themeShade="BF"/>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36">
    <w:name w:val="Light Shading Accent 2"/>
    <w:basedOn w:val="32"/>
    <w:uiPriority w:val="60"/>
    <w:pPr>
      <w:spacing w:after="0" w:line="240" w:lineRule="auto"/>
    </w:pPr>
    <w:rPr>
      <w:color w:val="C65F10" w:themeColor="accent2" w:themeShade="BF"/>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37">
    <w:name w:val="Light Shading Accent 3"/>
    <w:basedOn w:val="32"/>
    <w:uiPriority w:val="60"/>
    <w:pPr>
      <w:spacing w:after="0" w:line="240" w:lineRule="auto"/>
    </w:pPr>
    <w:rPr>
      <w:color w:val="B68C02" w:themeColor="accent3" w:themeShade="BF"/>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38">
    <w:name w:val="Light Shading Accent 4"/>
    <w:basedOn w:val="32"/>
    <w:uiPriority w:val="60"/>
    <w:pPr>
      <w:spacing w:after="0" w:line="240" w:lineRule="auto"/>
    </w:pPr>
    <w:rPr>
      <w:color w:val="588E32" w:themeColor="accent4" w:themeShade="BF"/>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39">
    <w:name w:val="Light Shading Accent 5"/>
    <w:basedOn w:val="32"/>
    <w:uiPriority w:val="60"/>
    <w:pPr>
      <w:spacing w:after="0" w:line="240" w:lineRule="auto"/>
    </w:pPr>
    <w:rPr>
      <w:color w:val="249087" w:themeColor="accent5" w:themeShade="BF"/>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40">
    <w:name w:val="Light Shading Accent 6"/>
    <w:basedOn w:val="32"/>
    <w:uiPriority w:val="60"/>
    <w:pPr>
      <w:spacing w:after="0" w:line="240" w:lineRule="auto"/>
    </w:pPr>
    <w:rPr>
      <w:color w:val="C81D31" w:themeColor="accent6" w:themeShade="BF"/>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43">
    <w:name w:val="Light List Accent 2"/>
    <w:basedOn w:val="32"/>
    <w:uiPriority w:val="61"/>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44">
    <w:name w:val="Light List Accent 3"/>
    <w:basedOn w:val="32"/>
    <w:uiPriority w:val="61"/>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45">
    <w:name w:val="Light List Accent 4"/>
    <w:basedOn w:val="32"/>
    <w:uiPriority w:val="61"/>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46">
    <w:name w:val="Light List Accent 5"/>
    <w:basedOn w:val="32"/>
    <w:uiPriority w:val="61"/>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47">
    <w:name w:val="Light List Accent 6"/>
    <w:basedOn w:val="32"/>
    <w:uiPriority w:val="61"/>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CellMar>
        <w:top w:w="0" w:type="dxa"/>
        <w:left w:w="108" w:type="dxa"/>
        <w:bottom w:w="0" w:type="dxa"/>
        <w:right w:w="108" w:type="dxa"/>
      </w:tblCellMar>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85">
    <w:name w:val="Medium Grid 1 Accent 2"/>
    <w:basedOn w:val="32"/>
    <w:uiPriority w:val="67"/>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CellMar>
        <w:top w:w="0" w:type="dxa"/>
        <w:left w:w="108" w:type="dxa"/>
        <w:bottom w:w="0" w:type="dxa"/>
        <w:right w:w="108" w:type="dxa"/>
      </w:tblCellMar>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86">
    <w:name w:val="Medium Grid 1 Accent 3"/>
    <w:basedOn w:val="32"/>
    <w:uiPriority w:val="67"/>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CellMar>
        <w:top w:w="0" w:type="dxa"/>
        <w:left w:w="108" w:type="dxa"/>
        <w:bottom w:w="0" w:type="dxa"/>
        <w:right w:w="108" w:type="dxa"/>
      </w:tblCellMar>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87">
    <w:name w:val="Medium Grid 1 Accent 4"/>
    <w:basedOn w:val="32"/>
    <w:uiPriority w:val="67"/>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CellMar>
        <w:top w:w="0" w:type="dxa"/>
        <w:left w:w="108" w:type="dxa"/>
        <w:bottom w:w="0" w:type="dxa"/>
        <w:right w:w="108" w:type="dxa"/>
      </w:tblCellMar>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88">
    <w:name w:val="Medium Grid 1 Accent 5"/>
    <w:basedOn w:val="32"/>
    <w:uiPriority w:val="67"/>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CellMar>
        <w:top w:w="0" w:type="dxa"/>
        <w:left w:w="108" w:type="dxa"/>
        <w:bottom w:w="0" w:type="dxa"/>
        <w:right w:w="108" w:type="dxa"/>
      </w:tblCellMar>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89">
    <w:name w:val="Medium Grid 1 Accent 6"/>
    <w:basedOn w:val="32"/>
    <w:uiPriority w:val="67"/>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CellMar>
        <w:top w:w="0" w:type="dxa"/>
        <w:left w:w="108" w:type="dxa"/>
        <w:bottom w:w="0" w:type="dxa"/>
        <w:right w:w="108" w:type="dxa"/>
      </w:tblCellMar>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33">
    <w:name w:val="Strong"/>
    <w:basedOn w:val="139"/>
    <w:qFormat/>
    <w:uiPriority w:val="22"/>
    <w:rPr>
      <w:b/>
      <w:bCs/>
    </w:rPr>
  </w:style>
  <w:style w:type="character" w:styleId="134">
    <w:name w:val="Emphasis"/>
    <w:basedOn w:val="139"/>
    <w:qFormat/>
    <w:uiPriority w:val="20"/>
    <w:rPr>
      <w:i/>
      <w:iCs/>
    </w:rPr>
  </w:style>
  <w:style w:type="character" w:customStyle="1" w:styleId="135">
    <w:name w:val="Header Char"/>
    <w:basedOn w:val="139"/>
    <w:link w:val="25"/>
    <w:uiPriority w:val="99"/>
  </w:style>
  <w:style w:type="character" w:customStyle="1" w:styleId="136">
    <w:name w:val="Footer Char"/>
    <w:basedOn w:val="139"/>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9"/>
    <w:link w:val="3"/>
    <w:uiPriority w:val="9"/>
    <w:rPr>
      <w:rFonts w:ascii="Times New Roman" w:hAnsi="Times New Roman" w:eastAsia="黑体" w:cs="Times New Roman"/>
      <w:color w:val="000000"/>
      <w:kern w:val="44"/>
      <w:sz w:val="32"/>
      <w:szCs w:val="44"/>
    </w:rPr>
  </w:style>
  <w:style w:type="character" w:customStyle="1" w:styleId="140">
    <w:name w:val="Heading 2 Char"/>
    <w:basedOn w:val="139"/>
    <w:qFormat/>
    <w:uiPriority w:val="9"/>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customStyle="1" w:styleId="141">
    <w:name w:val="Heading 3 Char"/>
    <w:basedOn w:val="139"/>
    <w:qFormat/>
    <w:uiPriority w:val="9"/>
    <w:rPr>
      <w:rFonts w:asciiTheme="majorHAnsi" w:hAnsiTheme="majorHAnsi" w:eastAsiaTheme="majorEastAsia" w:cstheme="majorBidi"/>
      <w:b/>
      <w:bCs/>
      <w:color w:val="4874CB" w:themeColor="accent1"/>
      <w14:textFill>
        <w14:solidFill>
          <w14:schemeClr w14:val="accent1"/>
        </w14:solidFill>
      </w14:textFill>
    </w:rPr>
  </w:style>
  <w:style w:type="character" w:customStyle="1" w:styleId="142">
    <w:name w:val="Title Char"/>
    <w:basedOn w:val="139"/>
    <w:qFormat/>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43">
    <w:name w:val="Subtitle Char"/>
    <w:basedOn w:val="139"/>
    <w:qFormat/>
    <w:uiPriority w:val="11"/>
    <w:rPr>
      <w:rFonts w:asciiTheme="majorHAnsi" w:hAnsiTheme="majorHAnsi" w:eastAsiaTheme="majorEastAsia" w:cstheme="majorBidi"/>
      <w:i/>
      <w:iCs/>
      <w:color w:val="4874CB"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9"/>
    <w:qFormat/>
    <w:uiPriority w:val="99"/>
  </w:style>
  <w:style w:type="character" w:customStyle="1" w:styleId="146">
    <w:name w:val="Body Text 2 Char"/>
    <w:basedOn w:val="139"/>
    <w:link w:val="28"/>
    <w:qFormat/>
    <w:uiPriority w:val="99"/>
  </w:style>
  <w:style w:type="character" w:customStyle="1" w:styleId="147">
    <w:name w:val="Body Text 3 Char"/>
    <w:basedOn w:val="139"/>
    <w:link w:val="17"/>
    <w:qFormat/>
    <w:uiPriority w:val="99"/>
    <w:rPr>
      <w:sz w:val="16"/>
      <w:szCs w:val="16"/>
    </w:rPr>
  </w:style>
  <w:style w:type="character" w:customStyle="1" w:styleId="148">
    <w:name w:val="Macro Text Char"/>
    <w:basedOn w:val="139"/>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9"/>
    <w:link w:val="149"/>
    <w:uiPriority w:val="29"/>
    <w:rPr>
      <w:i/>
      <w:iCs/>
      <w:color w:val="000000" w:themeColor="text1"/>
      <w14:textFill>
        <w14:solidFill>
          <w14:schemeClr w14:val="tx1"/>
        </w14:solidFill>
      </w14:textFill>
    </w:rPr>
  </w:style>
  <w:style w:type="character" w:customStyle="1" w:styleId="151">
    <w:name w:val="Heading 4 Char"/>
    <w:basedOn w:val="139"/>
    <w:link w:val="6"/>
    <w:semiHidden/>
    <w:uiPriority w:val="9"/>
    <w:rPr>
      <w:rFonts w:ascii="Times New Roman" w:hAnsi="Times New Roman" w:eastAsia="黑体" w:cs="Times New Roman"/>
      <w:bCs/>
      <w:kern w:val="2"/>
      <w:sz w:val="28"/>
      <w:szCs w:val="28"/>
    </w:rPr>
  </w:style>
  <w:style w:type="character" w:customStyle="1" w:styleId="152">
    <w:name w:val="Heading 5 Char"/>
    <w:basedOn w:val="139"/>
    <w:link w:val="7"/>
    <w:semiHidden/>
    <w:uiPriority w:val="9"/>
    <w:rPr>
      <w:rFonts w:ascii="Times New Roman" w:hAnsi="Times New Roman" w:eastAsia="黑体" w:cs="Times New Roman"/>
      <w:bCs/>
      <w:kern w:val="2"/>
      <w:sz w:val="28"/>
      <w:szCs w:val="28"/>
    </w:rPr>
  </w:style>
  <w:style w:type="character" w:customStyle="1" w:styleId="153">
    <w:name w:val="Heading 6 Char"/>
    <w:basedOn w:val="139"/>
    <w:link w:val="8"/>
    <w:semiHidden/>
    <w:uiPriority w:val="9"/>
    <w:rPr>
      <w:rFonts w:ascii="Times New Roman" w:hAnsi="Times New Roman" w:eastAsia="黑体" w:cs="Times New Roman"/>
      <w:bCs/>
      <w:kern w:val="2"/>
      <w:sz w:val="28"/>
      <w:szCs w:val="24"/>
    </w:rPr>
  </w:style>
  <w:style w:type="character" w:customStyle="1" w:styleId="154">
    <w:name w:val="Heading 7 Char"/>
    <w:basedOn w:val="139"/>
    <w:link w:val="9"/>
    <w:semiHidden/>
    <w:uiPriority w:val="9"/>
    <w:rPr>
      <w:rFonts w:ascii="Times New Roman" w:hAnsi="Times New Roman" w:eastAsia="黑体" w:cs="Times New Roman"/>
      <w:bCs/>
      <w:kern w:val="2"/>
      <w:sz w:val="24"/>
      <w:szCs w:val="24"/>
    </w:rPr>
  </w:style>
  <w:style w:type="character" w:customStyle="1" w:styleId="155">
    <w:name w:val="Heading 8 Char"/>
    <w:basedOn w:val="139"/>
    <w:link w:val="10"/>
    <w:semiHidden/>
    <w:uiPriority w:val="9"/>
    <w:rPr>
      <w:rFonts w:ascii="Times New Roman" w:hAnsi="Times New Roman" w:eastAsia="黑体" w:cs="Times New Roman"/>
      <w:kern w:val="2"/>
      <w:sz w:val="24"/>
      <w:szCs w:val="24"/>
    </w:rPr>
  </w:style>
  <w:style w:type="character" w:customStyle="1" w:styleId="156">
    <w:name w:val="Heading 9 Char"/>
    <w:basedOn w:val="139"/>
    <w:link w:val="11"/>
    <w:semiHidden/>
    <w:uiPriority w:val="9"/>
    <w:rPr>
      <w:rFonts w:ascii="Times New Roman" w:hAnsi="Times New Roman" w:eastAsia="黑体" w:cs="Times New Roman"/>
      <w:kern w:val="2"/>
      <w:sz w:val="21"/>
      <w:szCs w:val="21"/>
    </w:rPr>
  </w:style>
  <w:style w:type="paragraph" w:styleId="157">
    <w:name w:val="Intense Quote"/>
    <w:basedOn w:val="1"/>
    <w:next w:val="1"/>
    <w:link w:val="158"/>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158">
    <w:name w:val="Intense Quote Char"/>
    <w:basedOn w:val="139"/>
    <w:link w:val="157"/>
    <w:uiPriority w:val="30"/>
    <w:rPr>
      <w:b/>
      <w:bCs/>
      <w:i/>
      <w:iCs/>
      <w:color w:val="4874CB" w:themeColor="accent1"/>
      <w14:textFill>
        <w14:solidFill>
          <w14:schemeClr w14:val="accent1"/>
        </w14:solidFill>
      </w14:textFill>
    </w:rPr>
  </w:style>
  <w:style w:type="character" w:customStyle="1" w:styleId="159">
    <w:name w:val="Subtle Emphasis"/>
    <w:basedOn w:val="139"/>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9"/>
    <w:qFormat/>
    <w:uiPriority w:val="21"/>
    <w:rPr>
      <w:b/>
      <w:bCs/>
      <w:i/>
      <w:iCs/>
      <w:color w:val="4874CB" w:themeColor="accent1"/>
      <w14:textFill>
        <w14:solidFill>
          <w14:schemeClr w14:val="accent1"/>
        </w14:solidFill>
      </w14:textFill>
    </w:rPr>
  </w:style>
  <w:style w:type="character" w:customStyle="1" w:styleId="161">
    <w:name w:val="Subtle Reference"/>
    <w:basedOn w:val="139"/>
    <w:qFormat/>
    <w:uiPriority w:val="31"/>
    <w:rPr>
      <w:smallCaps/>
      <w:color w:val="EE822F" w:themeColor="accent2"/>
      <w:u w:val="single"/>
      <w14:textFill>
        <w14:solidFill>
          <w14:schemeClr w14:val="accent2"/>
        </w14:solidFill>
      </w14:textFill>
    </w:rPr>
  </w:style>
  <w:style w:type="character" w:customStyle="1" w:styleId="162">
    <w:name w:val="Intense Reference"/>
    <w:basedOn w:val="139"/>
    <w:qFormat/>
    <w:uiPriority w:val="32"/>
    <w:rPr>
      <w:b/>
      <w:bCs/>
      <w:smallCaps/>
      <w:color w:val="EE822F" w:themeColor="accent2"/>
      <w:spacing w:val="5"/>
      <w:u w:val="single"/>
      <w14:textFill>
        <w14:solidFill>
          <w14:schemeClr w14:val="accent2"/>
        </w14:solidFill>
      </w14:textFill>
    </w:rPr>
  </w:style>
  <w:style w:type="character" w:customStyle="1" w:styleId="163">
    <w:name w:val="Book Title"/>
    <w:basedOn w:val="139"/>
    <w:qFormat/>
    <w:uiPriority w:val="33"/>
    <w:rPr>
      <w:b/>
      <w:bCs/>
      <w:smallCaps/>
      <w:spacing w:val="5"/>
    </w:rPr>
  </w:style>
  <w:style w:type="paragraph" w:customStyle="1" w:styleId="164">
    <w:name w:val="TOC Heading"/>
    <w:basedOn w:val="3"/>
    <w:next w:val="1"/>
    <w:semiHidden/>
    <w:unhideWhenUsed/>
    <w:qFormat/>
    <w:uiPriority w:val="39"/>
    <w:pPr>
      <w:outlineLvl w:val="9"/>
    </w:pPr>
  </w:style>
  <w:style w:type="paragraph" w:customStyle="1" w:styleId="165">
    <w:name w:val="题注1"/>
    <w:next w:val="1"/>
    <w:uiPriority w:val="0"/>
    <w:pPr>
      <w:widowControl w:val="0"/>
      <w:adjustRightInd w:val="0"/>
      <w:spacing w:before="240" w:after="120" w:line="288" w:lineRule="auto"/>
      <w:jc w:val="center"/>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2267</Words>
  <Characters>3277</Characters>
  <Lines>0</Lines>
  <Paragraphs>0</Paragraphs>
  <TotalTime>8</TotalTime>
  <ScaleCrop>false</ScaleCrop>
  <LinksUpToDate>false</LinksUpToDate>
  <CharactersWithSpaces>3517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Bruce李唯</cp:lastModifiedBy>
  <dcterms:modified xsi:type="dcterms:W3CDTF">2026-08-10T11:30:22Z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eyJoZGlkIjoiODliNGU0ZjM2M2MyYzk3YjU1NmRmYmM0YTdjNWM2ZGYiLCJ1c2VySWQiOiI2NTc5MDUifQ==</vt:lpwstr>
  </property>
  <property fmtid="{D5CDD505-2E9C-101B-9397-08002B2CF9AE}" pid="3" name="KSOProductBuildVer">
    <vt:lpwstr>2052-12.1.0.28043</vt:lpwstr>
  </property>
  <property fmtid="{D5CDD505-2E9C-101B-9397-08002B2CF9AE}" pid="4" name="ICV">
    <vt:lpwstr>C7D8BEAAB3AC4881B4B1D69ECB699F7A_12</vt:lpwstr>
  </property>
</Properties>
</file>